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0" w:name="o1"/>
      <w:bookmarkEnd w:id="0"/>
      <w:r w:rsidRPr="00671F9B">
        <w:rPr>
          <w:rFonts w:ascii="Consolas" w:eastAsia="Times New Roman" w:hAnsi="Consolas" w:cs="Consolas"/>
          <w:b/>
          <w:bCs/>
          <w:color w:val="292B2C"/>
          <w:sz w:val="26"/>
          <w:szCs w:val="26"/>
          <w:lang w:eastAsia="uk-UA"/>
        </w:rPr>
        <w:t xml:space="preserve">                  ЄВРОПЕЙСЬКИЙ СУД З ПРАВ ЛЮДИНИ </w:t>
      </w:r>
      <w:r w:rsidRPr="00671F9B">
        <w:rPr>
          <w:rFonts w:ascii="Consolas" w:eastAsia="Times New Roman" w:hAnsi="Consolas" w:cs="Consolas"/>
          <w:b/>
          <w:bCs/>
          <w:color w:val="292B2C"/>
          <w:sz w:val="26"/>
          <w:szCs w:val="26"/>
          <w:lang w:eastAsia="uk-UA"/>
        </w:rPr>
        <w:br/>
        <w:t xml:space="preserve">                           П'ята секція </w:t>
      </w:r>
      <w:r w:rsidRPr="00671F9B">
        <w:rPr>
          <w:rFonts w:ascii="Consolas" w:eastAsia="Times New Roman" w:hAnsi="Consolas" w:cs="Consolas"/>
          <w:b/>
          <w:bCs/>
          <w:color w:val="292B2C"/>
          <w:sz w:val="26"/>
          <w:szCs w:val="26"/>
          <w:lang w:eastAsia="uk-UA"/>
        </w:rPr>
        <w:br/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1" w:name="o2"/>
      <w:bookmarkEnd w:id="1"/>
      <w:r w:rsidRPr="00671F9B">
        <w:rPr>
          <w:rFonts w:ascii="Consolas" w:eastAsia="Times New Roman" w:hAnsi="Consolas" w:cs="Consolas"/>
          <w:b/>
          <w:bCs/>
          <w:color w:val="292B2C"/>
          <w:sz w:val="26"/>
          <w:szCs w:val="26"/>
          <w:lang w:eastAsia="uk-UA"/>
        </w:rPr>
        <w:t xml:space="preserve">                          Р І Ш Е Н Н Я </w:t>
      </w:r>
      <w:r w:rsidRPr="00671F9B">
        <w:rPr>
          <w:rFonts w:ascii="Consolas" w:eastAsia="Times New Roman" w:hAnsi="Consolas" w:cs="Consolas"/>
          <w:b/>
          <w:bCs/>
          <w:color w:val="292B2C"/>
          <w:sz w:val="26"/>
          <w:szCs w:val="26"/>
          <w:lang w:eastAsia="uk-UA"/>
        </w:rPr>
        <w:br/>
        <w:t xml:space="preserve"> </w:t>
      </w:r>
      <w:r w:rsidRPr="00671F9B">
        <w:rPr>
          <w:rFonts w:ascii="Consolas" w:eastAsia="Times New Roman" w:hAnsi="Consolas" w:cs="Consolas"/>
          <w:b/>
          <w:bCs/>
          <w:color w:val="292B2C"/>
          <w:sz w:val="26"/>
          <w:szCs w:val="26"/>
          <w:lang w:eastAsia="uk-UA"/>
        </w:rPr>
        <w:br/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2" w:name="o3"/>
      <w:bookmarkEnd w:id="2"/>
      <w:r w:rsidRPr="00671F9B">
        <w:rPr>
          <w:rFonts w:ascii="Consolas" w:eastAsia="Times New Roman" w:hAnsi="Consolas" w:cs="Consolas"/>
          <w:b/>
          <w:bCs/>
          <w:color w:val="292B2C"/>
          <w:sz w:val="26"/>
          <w:szCs w:val="26"/>
          <w:lang w:eastAsia="uk-UA"/>
        </w:rPr>
        <w:t xml:space="preserve">                     Справа "</w:t>
      </w:r>
      <w:proofErr w:type="spellStart"/>
      <w:r w:rsidRPr="00671F9B">
        <w:rPr>
          <w:rFonts w:ascii="Consolas" w:eastAsia="Times New Roman" w:hAnsi="Consolas" w:cs="Consolas"/>
          <w:b/>
          <w:bCs/>
          <w:color w:val="292B2C"/>
          <w:sz w:val="26"/>
          <w:szCs w:val="26"/>
          <w:lang w:eastAsia="uk-UA"/>
        </w:rPr>
        <w:t>Серявін</w:t>
      </w:r>
      <w:proofErr w:type="spellEnd"/>
      <w:r w:rsidRPr="00671F9B">
        <w:rPr>
          <w:rFonts w:ascii="Consolas" w:eastAsia="Times New Roman" w:hAnsi="Consolas" w:cs="Consolas"/>
          <w:b/>
          <w:bCs/>
          <w:color w:val="292B2C"/>
          <w:sz w:val="26"/>
          <w:szCs w:val="26"/>
          <w:lang w:eastAsia="uk-UA"/>
        </w:rPr>
        <w:t xml:space="preserve"> та інші </w:t>
      </w:r>
      <w:r w:rsidRPr="00671F9B">
        <w:rPr>
          <w:rFonts w:ascii="Consolas" w:eastAsia="Times New Roman" w:hAnsi="Consolas" w:cs="Consolas"/>
          <w:b/>
          <w:bCs/>
          <w:color w:val="292B2C"/>
          <w:sz w:val="26"/>
          <w:szCs w:val="26"/>
          <w:lang w:eastAsia="uk-UA"/>
        </w:rPr>
        <w:br/>
        <w:t xml:space="preserve">                          проти України" </w:t>
      </w:r>
      <w:r w:rsidRPr="00671F9B">
        <w:rPr>
          <w:rFonts w:ascii="Consolas" w:eastAsia="Times New Roman" w:hAnsi="Consolas" w:cs="Consolas"/>
          <w:b/>
          <w:bCs/>
          <w:color w:val="292B2C"/>
          <w:sz w:val="26"/>
          <w:szCs w:val="26"/>
          <w:lang w:eastAsia="uk-UA"/>
        </w:rPr>
        <w:br/>
        <w:t xml:space="preserve">                        (Заява N 4909/04) </w:t>
      </w:r>
      <w:r w:rsidRPr="00671F9B">
        <w:rPr>
          <w:rFonts w:ascii="Consolas" w:eastAsia="Times New Roman" w:hAnsi="Consolas" w:cs="Consolas"/>
          <w:b/>
          <w:bCs/>
          <w:color w:val="292B2C"/>
          <w:sz w:val="26"/>
          <w:szCs w:val="26"/>
          <w:lang w:eastAsia="uk-UA"/>
        </w:rPr>
        <w:br/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3" w:name="o4"/>
      <w:bookmarkEnd w:id="3"/>
      <w:r w:rsidRPr="00671F9B">
        <w:rPr>
          <w:rFonts w:ascii="Consolas" w:eastAsia="Times New Roman" w:hAnsi="Consolas" w:cs="Consolas"/>
          <w:b/>
          <w:bCs/>
          <w:color w:val="292B2C"/>
          <w:sz w:val="26"/>
          <w:szCs w:val="26"/>
          <w:lang w:eastAsia="uk-UA"/>
        </w:rPr>
        <w:t xml:space="preserve">                  Страсбург, 10 лютого 2010 року </w:t>
      </w:r>
      <w:r w:rsidRPr="00671F9B">
        <w:rPr>
          <w:rFonts w:ascii="Consolas" w:eastAsia="Times New Roman" w:hAnsi="Consolas" w:cs="Consolas"/>
          <w:b/>
          <w:bCs/>
          <w:color w:val="292B2C"/>
          <w:sz w:val="26"/>
          <w:szCs w:val="26"/>
          <w:lang w:eastAsia="uk-UA"/>
        </w:rPr>
        <w:br/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4" w:name="o5"/>
      <w:bookmarkEnd w:id="4"/>
      <w:r w:rsidRPr="00671F9B">
        <w:rPr>
          <w:rFonts w:ascii="Consolas" w:eastAsia="Times New Roman" w:hAnsi="Consolas" w:cs="Consolas"/>
          <w:b/>
          <w:bCs/>
          <w:color w:val="292B2C"/>
          <w:sz w:val="26"/>
          <w:szCs w:val="26"/>
          <w:lang w:eastAsia="uk-UA"/>
        </w:rPr>
        <w:t xml:space="preserve">                            ОСТАТОЧНЕ </w:t>
      </w:r>
      <w:r w:rsidRPr="00671F9B">
        <w:rPr>
          <w:rFonts w:ascii="Consolas" w:eastAsia="Times New Roman" w:hAnsi="Consolas" w:cs="Consolas"/>
          <w:b/>
          <w:bCs/>
          <w:color w:val="292B2C"/>
          <w:sz w:val="26"/>
          <w:szCs w:val="26"/>
          <w:lang w:eastAsia="uk-UA"/>
        </w:rPr>
        <w:br/>
        <w:t xml:space="preserve">                            10/05/2011 </w:t>
      </w:r>
      <w:r w:rsidRPr="00671F9B">
        <w:rPr>
          <w:rFonts w:ascii="Consolas" w:eastAsia="Times New Roman" w:hAnsi="Consolas" w:cs="Consolas"/>
          <w:b/>
          <w:bCs/>
          <w:color w:val="292B2C"/>
          <w:sz w:val="26"/>
          <w:szCs w:val="26"/>
          <w:lang w:eastAsia="uk-UA"/>
        </w:rPr>
        <w:br/>
        <w:t xml:space="preserve"> </w:t>
      </w:r>
      <w:r w:rsidRPr="00671F9B">
        <w:rPr>
          <w:rFonts w:ascii="Consolas" w:eastAsia="Times New Roman" w:hAnsi="Consolas" w:cs="Consolas"/>
          <w:b/>
          <w:bCs/>
          <w:color w:val="292B2C"/>
          <w:sz w:val="26"/>
          <w:szCs w:val="26"/>
          <w:lang w:eastAsia="uk-UA"/>
        </w:rPr>
        <w:br/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5" w:name="o6"/>
      <w:bookmarkEnd w:id="5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                                           Переклад офіційний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6" w:name="o7"/>
      <w:bookmarkEnd w:id="6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Рішення у справі набуло  статусу  остаточного  відповідно  до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пункту  2  статті  44  Конвенції  ( </w:t>
      </w:r>
      <w:hyperlink r:id="rId5" w:tgtFrame="_blank" w:history="1">
        <w:r w:rsidRPr="00671F9B">
          <w:rPr>
            <w:rFonts w:ascii="Consolas" w:eastAsia="Times New Roman" w:hAnsi="Consolas" w:cs="Consolas"/>
            <w:color w:val="0000FF"/>
            <w:sz w:val="26"/>
            <w:u w:val="single"/>
            <w:lang w:eastAsia="uk-UA"/>
          </w:rPr>
          <w:t>995_004</w:t>
        </w:r>
      </w:hyperlink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).  Текст рішення може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підлягати редакційним виправленням.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7" w:name="o8"/>
      <w:bookmarkEnd w:id="7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У справі "</w:t>
      </w:r>
      <w:proofErr w:type="spellStart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>Серявін</w:t>
      </w:r>
      <w:proofErr w:type="spellEnd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та інші проти України"</w:t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8" w:name="o9"/>
      <w:bookmarkEnd w:id="8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Європейський суд  з  прав  людини  (п'ята секція),  засідаючи</w:t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9" w:name="o10"/>
      <w:bookmarkEnd w:id="9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палатою, до складу якої увійшли:</w:t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10" w:name="o11"/>
      <w:bookmarkEnd w:id="10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</w:t>
      </w:r>
      <w:proofErr w:type="spellStart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>Пеер</w:t>
      </w:r>
      <w:proofErr w:type="spellEnd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</w:t>
      </w:r>
      <w:proofErr w:type="spellStart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>Лоренцен</w:t>
      </w:r>
      <w:proofErr w:type="spellEnd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(</w:t>
      </w:r>
      <w:proofErr w:type="spellStart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>Peer</w:t>
      </w:r>
      <w:proofErr w:type="spellEnd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</w:t>
      </w:r>
      <w:proofErr w:type="spellStart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>Lorenzen</w:t>
      </w:r>
      <w:proofErr w:type="spellEnd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>), Голова,</w:t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11" w:name="o12"/>
      <w:bookmarkEnd w:id="11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Карел </w:t>
      </w:r>
      <w:proofErr w:type="spellStart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>Юнгвірт</w:t>
      </w:r>
      <w:proofErr w:type="spellEnd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(</w:t>
      </w:r>
      <w:proofErr w:type="spellStart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>Karel</w:t>
      </w:r>
      <w:proofErr w:type="spellEnd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</w:t>
      </w:r>
      <w:proofErr w:type="spellStart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>Jungwiert</w:t>
      </w:r>
      <w:proofErr w:type="spellEnd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>),</w:t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12" w:name="o13"/>
      <w:bookmarkEnd w:id="12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</w:t>
      </w:r>
      <w:proofErr w:type="spellStart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>Марк</w:t>
      </w:r>
      <w:proofErr w:type="spellEnd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</w:t>
      </w:r>
      <w:proofErr w:type="spellStart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>Віллігер</w:t>
      </w:r>
      <w:proofErr w:type="spellEnd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(</w:t>
      </w:r>
      <w:proofErr w:type="spellStart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>Mark</w:t>
      </w:r>
      <w:proofErr w:type="spellEnd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</w:t>
      </w:r>
      <w:proofErr w:type="spellStart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>Villiger</w:t>
      </w:r>
      <w:proofErr w:type="spellEnd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>),</w:t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13" w:name="o14"/>
      <w:bookmarkEnd w:id="13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</w:t>
      </w:r>
      <w:proofErr w:type="spellStart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>Ізабель</w:t>
      </w:r>
      <w:proofErr w:type="spellEnd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</w:t>
      </w:r>
      <w:proofErr w:type="spellStart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>Берро-Лефевр</w:t>
      </w:r>
      <w:proofErr w:type="spellEnd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(</w:t>
      </w:r>
      <w:proofErr w:type="spellStart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>Isabelle</w:t>
      </w:r>
      <w:proofErr w:type="spellEnd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Berro-Lefevre),</w:t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14" w:name="o15"/>
      <w:bookmarkEnd w:id="14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</w:t>
      </w:r>
      <w:proofErr w:type="spellStart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>Миряна</w:t>
      </w:r>
      <w:proofErr w:type="spellEnd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</w:t>
      </w:r>
      <w:proofErr w:type="spellStart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>Лазарова-Трайковська</w:t>
      </w:r>
      <w:proofErr w:type="spellEnd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(</w:t>
      </w:r>
      <w:proofErr w:type="spellStart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>Mirjana</w:t>
      </w:r>
      <w:proofErr w:type="spellEnd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</w:t>
      </w:r>
      <w:proofErr w:type="spellStart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>Lazarova</w:t>
      </w:r>
      <w:proofErr w:type="spellEnd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</w:t>
      </w:r>
      <w:proofErr w:type="spellStart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>Trajkovska</w:t>
      </w:r>
      <w:proofErr w:type="spellEnd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>),</w:t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15" w:name="o16"/>
      <w:bookmarkEnd w:id="15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Ганна </w:t>
      </w:r>
      <w:proofErr w:type="spellStart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>Юдківська</w:t>
      </w:r>
      <w:proofErr w:type="spellEnd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(</w:t>
      </w:r>
      <w:proofErr w:type="spellStart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>Ganna</w:t>
      </w:r>
      <w:proofErr w:type="spellEnd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</w:t>
      </w:r>
      <w:proofErr w:type="spellStart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>Yudkivska</w:t>
      </w:r>
      <w:proofErr w:type="spellEnd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>),</w:t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16" w:name="o17"/>
      <w:bookmarkEnd w:id="16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Джулія </w:t>
      </w:r>
      <w:proofErr w:type="spellStart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>Лаффранк</w:t>
      </w:r>
      <w:proofErr w:type="spellEnd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(</w:t>
      </w:r>
      <w:proofErr w:type="spellStart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>Julia</w:t>
      </w:r>
      <w:proofErr w:type="spellEnd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</w:t>
      </w:r>
      <w:proofErr w:type="spellStart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>Laffranque</w:t>
      </w:r>
      <w:proofErr w:type="spellEnd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>), судді,</w:t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17" w:name="o18"/>
      <w:bookmarkEnd w:id="17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а також  Клаудія  </w:t>
      </w:r>
      <w:proofErr w:type="spellStart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>Вестердік</w:t>
      </w:r>
      <w:proofErr w:type="spellEnd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(</w:t>
      </w:r>
      <w:proofErr w:type="spellStart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>Claudia</w:t>
      </w:r>
      <w:proofErr w:type="spellEnd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</w:t>
      </w:r>
      <w:proofErr w:type="spellStart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>Westerdiek</w:t>
      </w:r>
      <w:proofErr w:type="spellEnd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>),  Секретар</w:t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18" w:name="o19"/>
      <w:bookmarkEnd w:id="18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секції,</w:t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19" w:name="o20"/>
      <w:bookmarkEnd w:id="19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після наради за зачиненими дверима 18 січня 2011 року,</w:t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20" w:name="o21"/>
      <w:bookmarkEnd w:id="20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виносить таке рішення, ухвалене того самого дня: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21" w:name="o22"/>
      <w:bookmarkEnd w:id="21"/>
      <w:r w:rsidRPr="00671F9B">
        <w:rPr>
          <w:rFonts w:ascii="Consolas" w:eastAsia="Times New Roman" w:hAnsi="Consolas" w:cs="Consolas"/>
          <w:b/>
          <w:bCs/>
          <w:color w:val="292B2C"/>
          <w:sz w:val="26"/>
          <w:szCs w:val="26"/>
          <w:lang w:eastAsia="uk-UA"/>
        </w:rPr>
        <w:t xml:space="preserve">                            ПРОЦЕДУРА </w:t>
      </w:r>
      <w:r w:rsidRPr="00671F9B">
        <w:rPr>
          <w:rFonts w:ascii="Consolas" w:eastAsia="Times New Roman" w:hAnsi="Consolas" w:cs="Consolas"/>
          <w:b/>
          <w:bCs/>
          <w:color w:val="292B2C"/>
          <w:sz w:val="26"/>
          <w:szCs w:val="26"/>
          <w:lang w:eastAsia="uk-UA"/>
        </w:rPr>
        <w:br/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22" w:name="o23"/>
      <w:bookmarkEnd w:id="22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1. Справу  розпочато  за  заявою  (N 4909/04),  поданою проти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України до  Суду  29  грудня  2003  року  на  підставі  статті  34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Конвенції про   захист   прав   людини   і  основоположних  свобод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( </w:t>
      </w:r>
      <w:hyperlink r:id="rId6" w:tgtFrame="_blank" w:history="1">
        <w:r w:rsidRPr="00671F9B">
          <w:rPr>
            <w:rFonts w:ascii="Consolas" w:eastAsia="Times New Roman" w:hAnsi="Consolas" w:cs="Consolas"/>
            <w:color w:val="0000FF"/>
            <w:sz w:val="26"/>
            <w:u w:val="single"/>
            <w:lang w:eastAsia="uk-UA"/>
          </w:rPr>
          <w:t>995_004</w:t>
        </w:r>
      </w:hyperlink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)  (далі  -  Конвенція)  трьома  громадянами   України: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Олександром Валер'яновичем </w:t>
      </w:r>
      <w:proofErr w:type="spellStart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>Серявіним</w:t>
      </w:r>
      <w:proofErr w:type="spellEnd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, Іриною Миколаївною Коломієць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і Ларисою Вікторівною Логвиновою (далі - заявники).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23" w:name="o24"/>
      <w:bookmarkEnd w:id="23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2. Заявників представляла І.Я.Черпак, адвокат, що практикує в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м.   Києві.   Уряд   України   (далі   -  Уряд)  представляв  його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lastRenderedPageBreak/>
        <w:t xml:space="preserve">Уповноважений - Ю.Зайцев.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24" w:name="o25"/>
      <w:bookmarkEnd w:id="24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3. Заявники стверджували,  зокрема, що органи влади незаконно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санкціонували  проведення  робіт  з  реконструкції  горища їхнього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будинку і згодом передали це  горище  третій  особі,  а  також  що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рішення  судів  стосовно  поданого  ними  у цьому зв'язку позову є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свавільними.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25" w:name="o26"/>
      <w:bookmarkEnd w:id="25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4. 1 квітня 2009 року Голова п'ятої секції вирішив повідомити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Уряд про заяву.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26" w:name="o27"/>
      <w:bookmarkEnd w:id="26"/>
      <w:r w:rsidRPr="00671F9B">
        <w:rPr>
          <w:rFonts w:ascii="Consolas" w:eastAsia="Times New Roman" w:hAnsi="Consolas" w:cs="Consolas"/>
          <w:b/>
          <w:bCs/>
          <w:color w:val="292B2C"/>
          <w:sz w:val="26"/>
          <w:szCs w:val="26"/>
          <w:lang w:eastAsia="uk-UA"/>
        </w:rPr>
        <w:t xml:space="preserve">                           ЩОДО ФАКТІВ </w:t>
      </w:r>
      <w:r w:rsidRPr="00671F9B">
        <w:rPr>
          <w:rFonts w:ascii="Consolas" w:eastAsia="Times New Roman" w:hAnsi="Consolas" w:cs="Consolas"/>
          <w:b/>
          <w:bCs/>
          <w:color w:val="292B2C"/>
          <w:sz w:val="26"/>
          <w:szCs w:val="26"/>
          <w:lang w:eastAsia="uk-UA"/>
        </w:rPr>
        <w:br/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27" w:name="o28"/>
      <w:bookmarkEnd w:id="27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                  I. ОБСТАВИНИ СПРАВИ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28" w:name="o29"/>
      <w:bookmarkEnd w:id="28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5. Заявники,  1960,  1960 і 1959 років народження відповідно,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живуть у м. Києві.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29" w:name="o30"/>
      <w:bookmarkEnd w:id="29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6. Заявники мешкають у квартирах багатоповерхового будинку  і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є їх власниками.  До 1998 року, окрім трьох, всі квартири будинку,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де їх було біля п'ятдесяти,  були приватизовані їхніми  мешканцями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відповідно   до   Закону   України  "Про  приватизацію  державного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житлового  фонду"  (  </w:t>
      </w:r>
      <w:hyperlink r:id="rId7" w:tgtFrame="_blank" w:history="1">
        <w:r w:rsidRPr="00671F9B">
          <w:rPr>
            <w:rFonts w:ascii="Consolas" w:eastAsia="Times New Roman" w:hAnsi="Consolas" w:cs="Consolas"/>
            <w:color w:val="0000FF"/>
            <w:sz w:val="26"/>
            <w:u w:val="single"/>
            <w:lang w:eastAsia="uk-UA"/>
          </w:rPr>
          <w:t>2482-12</w:t>
        </w:r>
      </w:hyperlink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).  Три  неприватизовані   квартири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залишалися в комунальній власності.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30" w:name="o31"/>
      <w:bookmarkEnd w:id="30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7. 29 квітня 1998 року Київська міська державна адміністрація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надала дозвіл  пані  Н.Н.  на  реконструкцію  горища   будинку   і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створення  мансардного поверху з подальшим отриманням нею права на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реконструйовані та новостворені приміщення за умови, якщо мешканці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будинку дадуть згоду на проект.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31" w:name="o32"/>
      <w:bookmarkEnd w:id="31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8. 29   травня  1998  року  пані  Н.Н.  уклала  інвестиційний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контракт  на  проведення  реконструкції  та  будівельних  робіт  з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Державним  підприємством  по утриманню житлового фонду Радянського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району м.  Києва,  яке діяло від імені власника будинку.  Згідно з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контрактом  будинок  перебував  у  комунальній  власності  і орган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місцевого  самоврядування  мав   надати   пані   Н.Н.   право   на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реконструйований  об'єкт  після завершення робіт.  Згодом стороною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цього контракту (другим інвестором) стала пані В.Г. Ані заявників,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ані  власників  інших  квартир  не запитували,  чи дають вони свою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згоду на здійснення цього проекту.  Неодноразово власники  квартир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безуспішно зверталися до різних органів,  висловлюючи свою незгоду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щодо зазначених робіт.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32" w:name="o33"/>
      <w:bookmarkEnd w:id="32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9. У липні 2001 року  власники  квартир  створили  об'єднання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власників  квартир  (далі  -  об'єднання),  членами  якого стали і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заявники.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33" w:name="o34"/>
      <w:bookmarkEnd w:id="33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lastRenderedPageBreak/>
        <w:t xml:space="preserve">     10. У квітні 2002 року інвестори розпочали роботи в будинку.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34" w:name="o35"/>
      <w:bookmarkEnd w:id="34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11. За твердженням  заявників,  внаслідок  будівельних  робіт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їхнім  квартирам було завдано шкоди (зокрема,  на стелі і в стінах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з'явилися тріщини, квартири затоплювалися, відпадала штукатурка).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35" w:name="o36"/>
      <w:bookmarkEnd w:id="35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12. У   жовтні   2002   року   об'єднання    звернулося    до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Святошинського  районного  суду  м.  Києва з цивільним позовом про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визнання інвестиційного контракту недійсним і повернення горища  в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попередній стан,  посилаючись, зокрема, на те, що органу місцевого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самоврядування належить у будинку лише три квартири і він  повинен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був   отримати   згоду   власників  інших  квартир  для  укладання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контракту.  Заявники,   яких   представляло   об'єднання,   згодом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самостійно   приєднались  до  провадження  разом  з  двома  іншими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власниками квартир.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36" w:name="o37"/>
      <w:bookmarkEnd w:id="36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13. Шевченківська     районна     державна      адміністрація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(правонаступник Радянської   районної   державної   адміністрації,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далі - адміністрація) подала зустрічний позов,  вимагаючи заборони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позивачам   втручатися   в   згадані   вище   роботи   і  визнання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неправомірною їхню незгоду щодо них.  Аргументуючи свій зустрічний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позов,  адміністрація заявила,  що будинок,  зокрема, горище і дах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були старими і перебували у дуже поганому стані.  У зв'язку з  цим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потрібні  інвестиції на відновлювальні роботи.  Отже,  такі роботи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були на користь усім власникам квартир і мешканцям будинку.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37" w:name="o38"/>
      <w:bookmarkEnd w:id="37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14. У  невстановлену  дату  у  зв'язку  із   судовим   спором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Святошинський  районний суд постановив зупинити будівельні роботи.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Проте будівництво продовжувалось і станом на 6  грудня  2002  року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було закінчено.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38" w:name="o39"/>
      <w:bookmarkEnd w:id="38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15. 26  грудня  2002  року  Шевченківська районна рада надала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інвесторам право  власності  на  реконструйовані  та  новостворені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приміщення.  У  невстановлену  дату заявники та об'єднання змінили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свої позовні вимоги, вимагаючи скасування цього рішення.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39" w:name="o40"/>
      <w:bookmarkEnd w:id="39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16. 29 січня 2003 року Святошинський  районний  суд  відхилив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позовні  вимоги  заявників  та об'єднання і задовольнив зустрічний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позов  адміністрації.  У  відповідних  частинах  судового  рішення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>зазначено:</w:t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40" w:name="o41"/>
      <w:bookmarkEnd w:id="40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"... з моменту приватизації квартир у  позивачів  та  на  той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момент   Радянської   райдержадміністрації,   у   власності   якої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залишилось  три  квартири,  виникло   право   спільної   часткової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>власності на будинок, в тому числі на допоміжні приміщення...</w:t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41" w:name="o42"/>
      <w:bookmarkEnd w:id="41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Відповідно до ст.  113 ЦК  України  (  </w:t>
      </w:r>
      <w:hyperlink r:id="rId8" w:tgtFrame="_blank" w:history="1">
        <w:r w:rsidRPr="00671F9B">
          <w:rPr>
            <w:rFonts w:ascii="Consolas" w:eastAsia="Times New Roman" w:hAnsi="Consolas" w:cs="Consolas"/>
            <w:color w:val="0000FF"/>
            <w:sz w:val="26"/>
            <w:u w:val="single"/>
            <w:lang w:eastAsia="uk-UA"/>
          </w:rPr>
          <w:t>1540-06</w:t>
        </w:r>
      </w:hyperlink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)  володіння,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користування   і   розпорядження  майном  при  спільній  частковій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власності провадиться за згодою всіх учасників,  а при відсутності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>згоди - спір вирішується судом.</w:t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42" w:name="o43"/>
      <w:bookmarkEnd w:id="42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lastRenderedPageBreak/>
        <w:t xml:space="preserve">     Таким чином,  питання  проведення  реконструкції  горища   та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ремонту  будинку  мало бути проведене за згодою всіх співвласників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будинку.  Однак,  як встановлено судом, інвестиційний договір було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укладено   одним   із   співвласників   будинку  без  згоди  інших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>співвласників, у зв'язку з чим і виник судовий спір.</w:t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43" w:name="o44"/>
      <w:bookmarkEnd w:id="43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...</w:t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44" w:name="o45"/>
      <w:bookmarkEnd w:id="44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Таким чином,  враховуючи,  що інвестиційний  договір  на  час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вирішення   спору   фактично   виконаний,  що  сприяло  покращенню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технічного стану всього будинку, і те, що, крім позивачів, частина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квартир  у  ньому  належить  Шевченківській  районній  у м.  Києві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державній адміністрації,  тобто іншим  співвласникам,  то  відмова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позивачів   надати   згоду   на  виконання  будівельних  робіт  за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інвестиційним  договором  є  незаконною  і  порушує  права   інших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співвласників;  тому  в  основному  позові необхідно відмовити,  а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>зустрічний позов підлягає задоволенню.</w:t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45" w:name="o46"/>
      <w:bookmarkEnd w:id="45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Вимоги про   визнання   незаконним   рішення   N   114  сесії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Шевченківської районної ради від 26.12.2002 р.  щодо надання згоди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на   відчуження  з  комунальної  власності...  жилого  приміщення,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збудованого на горищі...,  задоволенню не підлягають за  наступних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підстав. ... будинок весь час перебував у власності територіальної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громади, представницьким органом якого є рада, яка в одноособовому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порядку   відповідно   до  ст.  60  Закону  України  "Про  місцеве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самоврядування в Україні" ( </w:t>
      </w:r>
      <w:hyperlink r:id="rId9" w:tgtFrame="_blank" w:history="1">
        <w:r w:rsidRPr="00671F9B">
          <w:rPr>
            <w:rFonts w:ascii="Consolas" w:eastAsia="Times New Roman" w:hAnsi="Consolas" w:cs="Consolas"/>
            <w:color w:val="0000FF"/>
            <w:sz w:val="26"/>
            <w:u w:val="single"/>
            <w:lang w:eastAsia="uk-UA"/>
          </w:rPr>
          <w:t>280/97-ВР</w:t>
        </w:r>
      </w:hyperlink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)...  здійснює правомочності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щодо  володіння,  користування  і  розпорядження  об'єктами  права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комунальної власності,  до яких відноситься і житловий фонд. Тому,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з  урахуванням  викладеного та того,  що переобладнання горища ...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було здійснено  за  рахунок  коштів  Н.Н.  і  В.Г.,  Шевченківська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районна в м. Києві рада мала право прийняти таке рішення".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46" w:name="o47"/>
      <w:bookmarkEnd w:id="46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17. У  лютому  2003  року  позивачі  оскаржили  це  рішення в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апеляційному порядку, посилаючись на різні порушення матеріального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і  процесуального  закону  судом першої інстанції.  Зокрема,  вони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стверджували,  що висновок Святошинського суду про право  районної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ради   передати  право  на  горище  явно  суперечить  відповідному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законодавству і власним висновкам цього суду про те,  що згідно зі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статтею  113 Цивільного кодексу України ( </w:t>
      </w:r>
      <w:hyperlink r:id="rId10" w:tgtFrame="_blank" w:history="1">
        <w:r w:rsidRPr="00671F9B">
          <w:rPr>
            <w:rFonts w:ascii="Consolas" w:eastAsia="Times New Roman" w:hAnsi="Consolas" w:cs="Consolas"/>
            <w:color w:val="0000FF"/>
            <w:sz w:val="26"/>
            <w:u w:val="single"/>
            <w:lang w:eastAsia="uk-UA"/>
          </w:rPr>
          <w:t>1540-06</w:t>
        </w:r>
      </w:hyperlink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) горище будинку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перебуває у спільній власності органу місцевого  самоврядування  і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позивачів.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47" w:name="o48"/>
      <w:bookmarkEnd w:id="47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18. 14  квітня  2003  року  Київський міський апеляційний суд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залишив апеляційну скаргу без задоволення.  У відповідній  частині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>його рішення зазначено:</w:t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48" w:name="o49"/>
      <w:bookmarkEnd w:id="48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"... Відмовляючи у  позові...,  суд  обґрунтовано  виходив  з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того,  що  до створення об'єднання співвласників (26.07.2001 р.) з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моменту приватизації  позивачами  окремих  квартир...   будинок...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знаходиться  у  спільній  частковій  власності  окремих  власників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квартир та районної ради, правовідносини яких з приводу володіння,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користування  і  розпорядження  будинком  врегульовано ст.  113 ЦК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України ( </w:t>
      </w:r>
      <w:hyperlink r:id="rId11" w:tgtFrame="_blank" w:history="1">
        <w:r w:rsidRPr="00671F9B">
          <w:rPr>
            <w:rFonts w:ascii="Consolas" w:eastAsia="Times New Roman" w:hAnsi="Consolas" w:cs="Consolas"/>
            <w:color w:val="0000FF"/>
            <w:sz w:val="26"/>
            <w:u w:val="single"/>
            <w:lang w:eastAsia="uk-UA"/>
          </w:rPr>
          <w:t>1540-06</w:t>
        </w:r>
      </w:hyperlink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).</w:t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49" w:name="o50"/>
      <w:bookmarkEnd w:id="49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lastRenderedPageBreak/>
        <w:t xml:space="preserve">     Вирішуючи даний  спір  та  визнаючи...  відмову  позивачів  -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співвласників  будинку  дати  згоду   на   проведення   перебудови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горищного  приміщення  і  надбудови мансарди необґрунтованою,  суд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правильно виходив...  з необхідності  проведення  таких  робіт...,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виходячи з технічного стану даху та горищного приміщення..., [і] в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їх результаті здійснені і інші роботи,  направлені  на  покращення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умов  проживання  всіх власників наймачів жилих приміщень,  якості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>будинку як об'єкта права власності.</w:t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50" w:name="o51"/>
      <w:bookmarkEnd w:id="50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Враховуючи, що  мансардні  приміщення  збудовані  без  участі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позивачів,  за рахунок власних коштів інвестора,...  Шевченківська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районна   у   м.   Києві  рада  правомірно  вирішила  питання  про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розпорядження зазначеним  приміщенням,   що   відповідає   вимогам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ст. 119 ЦК України ( </w:t>
      </w:r>
      <w:hyperlink r:id="rId12" w:tgtFrame="_blank" w:history="1">
        <w:r w:rsidRPr="00671F9B">
          <w:rPr>
            <w:rFonts w:ascii="Consolas" w:eastAsia="Times New Roman" w:hAnsi="Consolas" w:cs="Consolas"/>
            <w:color w:val="0000FF"/>
            <w:sz w:val="26"/>
            <w:u w:val="single"/>
            <w:lang w:eastAsia="uk-UA"/>
          </w:rPr>
          <w:t>1540-06</w:t>
        </w:r>
      </w:hyperlink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)".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51" w:name="o52"/>
      <w:bookmarkEnd w:id="51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19. Позивачі   подали   касаційну  скаргу,  стверджуючи,  що,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оскільки вони представляли понад 70%  власників  квартир  будинку,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позбавлення їх   майна   з   посиланням   на   те,   що  воно,  як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стверджувалось, було поліпшене третьою стороною, на що вони ніколи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не давали своєї згоди,  було незаконним.  Вони також доводили,  що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внаслідок зазначених робіт загальний стан будинку погіршився.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52" w:name="o53"/>
      <w:bookmarkEnd w:id="52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20. 13 серпня 2003 року Верховний Суд  відмовив  позивачам  у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порушенні касаційного провадження за їхньою касаційною скаргою.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53" w:name="o54"/>
      <w:bookmarkEnd w:id="53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21. Згодом позивачі безуспішно вимагали перегляду рішень у їх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справі,  посилаючись на неоднозначну практику застосування  закону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національними судами в аналогічних справах.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54" w:name="o55"/>
      <w:bookmarkEnd w:id="54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        II. ВІДПОВІДНЕ НАЦІОНАЛЬНЕ ЗАКОНОДАВСТВО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                            І ПРАКТИКА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55" w:name="o56"/>
      <w:bookmarkEnd w:id="55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A. Конституція України ( </w:t>
      </w:r>
      <w:hyperlink r:id="rId13" w:tgtFrame="_blank" w:history="1">
        <w:r w:rsidRPr="00671F9B">
          <w:rPr>
            <w:rFonts w:ascii="Consolas" w:eastAsia="Times New Roman" w:hAnsi="Consolas" w:cs="Consolas"/>
            <w:color w:val="0000FF"/>
            <w:sz w:val="26"/>
            <w:u w:val="single"/>
            <w:lang w:eastAsia="uk-UA"/>
          </w:rPr>
          <w:t>254к/96-ВР</w:t>
        </w:r>
      </w:hyperlink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)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56" w:name="o57"/>
      <w:bookmarkEnd w:id="56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22. Відповідні положення Конституції України (  </w:t>
      </w:r>
      <w:hyperlink r:id="rId14" w:tgtFrame="_blank" w:history="1">
        <w:r w:rsidRPr="00671F9B">
          <w:rPr>
            <w:rFonts w:ascii="Consolas" w:eastAsia="Times New Roman" w:hAnsi="Consolas" w:cs="Consolas"/>
            <w:color w:val="0000FF"/>
            <w:sz w:val="26"/>
            <w:u w:val="single"/>
            <w:lang w:eastAsia="uk-UA"/>
          </w:rPr>
          <w:t>254к/96-ВР</w:t>
        </w:r>
      </w:hyperlink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)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передбачають: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57" w:name="o58"/>
      <w:bookmarkEnd w:id="57"/>
      <w:r w:rsidRPr="00671F9B">
        <w:rPr>
          <w:rFonts w:ascii="Consolas" w:eastAsia="Times New Roman" w:hAnsi="Consolas" w:cs="Consolas"/>
          <w:b/>
          <w:bCs/>
          <w:color w:val="292B2C"/>
          <w:sz w:val="26"/>
          <w:szCs w:val="26"/>
          <w:lang w:eastAsia="uk-UA"/>
        </w:rPr>
        <w:t xml:space="preserve">                     Стаття 13 ( </w:t>
      </w:r>
      <w:hyperlink r:id="rId15" w:tgtFrame="_blank" w:history="1">
        <w:r w:rsidRPr="00671F9B">
          <w:rPr>
            <w:rFonts w:ascii="Consolas" w:eastAsia="Times New Roman" w:hAnsi="Consolas" w:cs="Consolas"/>
            <w:b/>
            <w:bCs/>
            <w:color w:val="0000FF"/>
            <w:sz w:val="26"/>
            <w:u w:val="single"/>
            <w:lang w:eastAsia="uk-UA"/>
          </w:rPr>
          <w:t>254к/96-ВР</w:t>
        </w:r>
      </w:hyperlink>
      <w:r w:rsidRPr="00671F9B">
        <w:rPr>
          <w:rFonts w:ascii="Consolas" w:eastAsia="Times New Roman" w:hAnsi="Consolas" w:cs="Consolas"/>
          <w:b/>
          <w:bCs/>
          <w:color w:val="292B2C"/>
          <w:sz w:val="26"/>
          <w:szCs w:val="26"/>
          <w:lang w:eastAsia="uk-UA"/>
        </w:rPr>
        <w:t xml:space="preserve"> ) </w:t>
      </w:r>
      <w:r w:rsidRPr="00671F9B">
        <w:rPr>
          <w:rFonts w:ascii="Consolas" w:eastAsia="Times New Roman" w:hAnsi="Consolas" w:cs="Consolas"/>
          <w:b/>
          <w:bCs/>
          <w:color w:val="292B2C"/>
          <w:sz w:val="26"/>
          <w:szCs w:val="26"/>
          <w:lang w:eastAsia="uk-UA"/>
        </w:rPr>
        <w:br/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58" w:name="o59"/>
      <w:bookmarkEnd w:id="58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"... Держава  забезпечує  захист  прав  усіх  суб'єктів права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власності і господарювання, соціальну спрямованість економіки. Усі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суб'єкти права власності рівні перед законом".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59" w:name="o60"/>
      <w:bookmarkEnd w:id="59"/>
      <w:r w:rsidRPr="00671F9B">
        <w:rPr>
          <w:rFonts w:ascii="Consolas" w:eastAsia="Times New Roman" w:hAnsi="Consolas" w:cs="Consolas"/>
          <w:b/>
          <w:bCs/>
          <w:color w:val="292B2C"/>
          <w:sz w:val="26"/>
          <w:szCs w:val="26"/>
          <w:lang w:eastAsia="uk-UA"/>
        </w:rPr>
        <w:t xml:space="preserve">                     Стаття 41 ( </w:t>
      </w:r>
      <w:hyperlink r:id="rId16" w:tgtFrame="_blank" w:history="1">
        <w:r w:rsidRPr="00671F9B">
          <w:rPr>
            <w:rFonts w:ascii="Consolas" w:eastAsia="Times New Roman" w:hAnsi="Consolas" w:cs="Consolas"/>
            <w:b/>
            <w:bCs/>
            <w:color w:val="0000FF"/>
            <w:sz w:val="26"/>
            <w:u w:val="single"/>
            <w:lang w:eastAsia="uk-UA"/>
          </w:rPr>
          <w:t>254к/96-ВР</w:t>
        </w:r>
      </w:hyperlink>
      <w:r w:rsidRPr="00671F9B">
        <w:rPr>
          <w:rFonts w:ascii="Consolas" w:eastAsia="Times New Roman" w:hAnsi="Consolas" w:cs="Consolas"/>
          <w:b/>
          <w:bCs/>
          <w:color w:val="292B2C"/>
          <w:sz w:val="26"/>
          <w:szCs w:val="26"/>
          <w:lang w:eastAsia="uk-UA"/>
        </w:rPr>
        <w:t xml:space="preserve"> ) </w:t>
      </w:r>
      <w:r w:rsidRPr="00671F9B">
        <w:rPr>
          <w:rFonts w:ascii="Consolas" w:eastAsia="Times New Roman" w:hAnsi="Consolas" w:cs="Consolas"/>
          <w:b/>
          <w:bCs/>
          <w:color w:val="292B2C"/>
          <w:sz w:val="26"/>
          <w:szCs w:val="26"/>
          <w:lang w:eastAsia="uk-UA"/>
        </w:rPr>
        <w:br/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60" w:name="o61"/>
      <w:bookmarkEnd w:id="60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"Кожен має  право  володіти,  користуватися  і розпоряджатися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своєю  власністю,  результатами  своєї  інтелектуальної,   творчої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>діяльності.</w:t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61" w:name="o62"/>
      <w:bookmarkEnd w:id="61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...</w:t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62" w:name="o63"/>
      <w:bookmarkEnd w:id="62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lastRenderedPageBreak/>
        <w:t xml:space="preserve">     Ніхто не  може  бути протиправно позбавлений права власності.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>Право приватної власності є непорушним.</w:t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63" w:name="o64"/>
      <w:bookmarkEnd w:id="63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Примусове відчуження  об'єктів права приватної власності може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бути  застосоване   лише   як   виняток   з   мотивів   суспільної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необхідності, на підставі і в порядку, встановлених законом, та за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умови попереднього і повного відшкодування їх вартості.  Примусове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відчуження  таких  об'єктів  з  наступним повним відшкодуванням їх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вартості допускається лише  в  умовах  воєнного  чи  надзвичайного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>стану.</w:t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64" w:name="o65"/>
      <w:bookmarkEnd w:id="64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..."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65" w:name="o66"/>
      <w:bookmarkEnd w:id="65"/>
      <w:r w:rsidRPr="00671F9B">
        <w:rPr>
          <w:rFonts w:ascii="Consolas" w:eastAsia="Times New Roman" w:hAnsi="Consolas" w:cs="Consolas"/>
          <w:b/>
          <w:bCs/>
          <w:color w:val="292B2C"/>
          <w:sz w:val="26"/>
          <w:szCs w:val="26"/>
          <w:lang w:eastAsia="uk-UA"/>
        </w:rPr>
        <w:t xml:space="preserve">                    Стаття 124 ( </w:t>
      </w:r>
      <w:hyperlink r:id="rId17" w:tgtFrame="_blank" w:history="1">
        <w:r w:rsidRPr="00671F9B">
          <w:rPr>
            <w:rFonts w:ascii="Consolas" w:eastAsia="Times New Roman" w:hAnsi="Consolas" w:cs="Consolas"/>
            <w:b/>
            <w:bCs/>
            <w:color w:val="0000FF"/>
            <w:sz w:val="26"/>
            <w:u w:val="single"/>
            <w:lang w:eastAsia="uk-UA"/>
          </w:rPr>
          <w:t>254к/96-ВР</w:t>
        </w:r>
      </w:hyperlink>
      <w:r w:rsidRPr="00671F9B">
        <w:rPr>
          <w:rFonts w:ascii="Consolas" w:eastAsia="Times New Roman" w:hAnsi="Consolas" w:cs="Consolas"/>
          <w:b/>
          <w:bCs/>
          <w:color w:val="292B2C"/>
          <w:sz w:val="26"/>
          <w:szCs w:val="26"/>
          <w:lang w:eastAsia="uk-UA"/>
        </w:rPr>
        <w:t xml:space="preserve"> ) </w:t>
      </w:r>
      <w:r w:rsidRPr="00671F9B">
        <w:rPr>
          <w:rFonts w:ascii="Consolas" w:eastAsia="Times New Roman" w:hAnsi="Consolas" w:cs="Consolas"/>
          <w:b/>
          <w:bCs/>
          <w:color w:val="292B2C"/>
          <w:sz w:val="26"/>
          <w:szCs w:val="26"/>
          <w:lang w:eastAsia="uk-UA"/>
        </w:rPr>
        <w:br/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66" w:name="o67"/>
      <w:bookmarkEnd w:id="66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"...</w:t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67" w:name="o68"/>
      <w:bookmarkEnd w:id="67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Юрисдикція судів   поширюється   на  всі  правовідносини,  що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>виникають у державі.</w:t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68" w:name="o69"/>
      <w:bookmarkEnd w:id="68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..."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69" w:name="o70"/>
      <w:bookmarkEnd w:id="69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B. Цивільний кодекс України від 1963 року ( </w:t>
      </w:r>
      <w:hyperlink r:id="rId18" w:tgtFrame="_blank" w:history="1">
        <w:r w:rsidRPr="00671F9B">
          <w:rPr>
            <w:rFonts w:ascii="Consolas" w:eastAsia="Times New Roman" w:hAnsi="Consolas" w:cs="Consolas"/>
            <w:color w:val="0000FF"/>
            <w:sz w:val="26"/>
            <w:u w:val="single"/>
            <w:lang w:eastAsia="uk-UA"/>
          </w:rPr>
          <w:t>1540-06</w:t>
        </w:r>
      </w:hyperlink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)</w:t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70" w:name="o71"/>
      <w:bookmarkEnd w:id="70"/>
      <w:r w:rsidRPr="00671F9B">
        <w:rPr>
          <w:rFonts w:ascii="Consolas" w:eastAsia="Times New Roman" w:hAnsi="Consolas" w:cs="Consolas"/>
          <w:i/>
          <w:iCs/>
          <w:color w:val="292B2C"/>
          <w:sz w:val="26"/>
          <w:szCs w:val="26"/>
          <w:lang w:eastAsia="uk-UA"/>
        </w:rPr>
        <w:t xml:space="preserve">     (втратив чинність 1 січня 2004 року) </w:t>
      </w:r>
      <w:r w:rsidRPr="00671F9B">
        <w:rPr>
          <w:rFonts w:ascii="Consolas" w:eastAsia="Times New Roman" w:hAnsi="Consolas" w:cs="Consolas"/>
          <w:i/>
          <w:iCs/>
          <w:color w:val="292B2C"/>
          <w:sz w:val="26"/>
          <w:szCs w:val="26"/>
          <w:lang w:eastAsia="uk-UA"/>
        </w:rPr>
        <w:br/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71" w:name="o72"/>
      <w:bookmarkEnd w:id="71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23. Відповідні   положення   Цивільного    кодексу    України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( </w:t>
      </w:r>
      <w:hyperlink r:id="rId19" w:tgtFrame="_blank" w:history="1">
        <w:r w:rsidRPr="00671F9B">
          <w:rPr>
            <w:rFonts w:ascii="Consolas" w:eastAsia="Times New Roman" w:hAnsi="Consolas" w:cs="Consolas"/>
            <w:color w:val="0000FF"/>
            <w:sz w:val="26"/>
            <w:u w:val="single"/>
            <w:lang w:eastAsia="uk-UA"/>
          </w:rPr>
          <w:t>1540-06</w:t>
        </w:r>
      </w:hyperlink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) в редакції, чинній у час подій у справі, передбачають: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72" w:name="o73"/>
      <w:bookmarkEnd w:id="72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                      </w:t>
      </w:r>
      <w:r w:rsidRPr="00671F9B">
        <w:rPr>
          <w:rFonts w:ascii="Consolas" w:eastAsia="Times New Roman" w:hAnsi="Consolas" w:cs="Consolas"/>
          <w:b/>
          <w:bCs/>
          <w:color w:val="292B2C"/>
          <w:sz w:val="26"/>
          <w:szCs w:val="26"/>
          <w:lang w:eastAsia="uk-UA"/>
        </w:rPr>
        <w:t>Стаття 113.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                Право спільної часткової власності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                           ( </w:t>
      </w:r>
      <w:hyperlink r:id="rId20" w:tgtFrame="_blank" w:history="1">
        <w:r w:rsidRPr="00671F9B">
          <w:rPr>
            <w:rFonts w:ascii="Consolas" w:eastAsia="Times New Roman" w:hAnsi="Consolas" w:cs="Consolas"/>
            <w:color w:val="0000FF"/>
            <w:sz w:val="26"/>
            <w:u w:val="single"/>
            <w:lang w:eastAsia="uk-UA"/>
          </w:rPr>
          <w:t>1540-06</w:t>
        </w:r>
      </w:hyperlink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)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73" w:name="o74"/>
      <w:bookmarkEnd w:id="73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"Володіння, користування  і розпорядження майном при спільній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частковій власності провадиться за згодою всіх  учасників,  а  при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>відсутності згоди - спір вирішується судом.</w:t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74" w:name="o75"/>
      <w:bookmarkEnd w:id="74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...</w:t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75" w:name="o76"/>
      <w:bookmarkEnd w:id="75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Кожний учасник [спільної часткової  власності]...  відповідно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до   своєї  частки  має  право  на  доходи  від  спільного  майна,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відповідає перед третіми особами по  зобов'язаннях,  пов'язаних  з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спільним  майном,  і  повинен  брати  участь у сплаті всякого роду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податків і платежів,  а також у витратах по утриманню і зберіганню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>спільного майна.</w:t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76" w:name="o77"/>
      <w:bookmarkEnd w:id="76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Кожний учасник спільної  часткової  власності  має  право  на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оплатне  або  безоплатне  відчуження  іншій  особі  своєї частки в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спільному майні".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77" w:name="o78"/>
      <w:bookmarkEnd w:id="77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                      </w:t>
      </w:r>
      <w:r w:rsidRPr="00671F9B">
        <w:rPr>
          <w:rFonts w:ascii="Consolas" w:eastAsia="Times New Roman" w:hAnsi="Consolas" w:cs="Consolas"/>
          <w:b/>
          <w:bCs/>
          <w:color w:val="292B2C"/>
          <w:sz w:val="26"/>
          <w:szCs w:val="26"/>
          <w:lang w:eastAsia="uk-UA"/>
        </w:rPr>
        <w:t>Стаття 119.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                  Наслідки надбудови, прибудови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                   або перебудови будинку, що є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                   спільною частковою власністю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                           ( </w:t>
      </w:r>
      <w:hyperlink r:id="rId21" w:tgtFrame="_blank" w:history="1">
        <w:r w:rsidRPr="00671F9B">
          <w:rPr>
            <w:rFonts w:ascii="Consolas" w:eastAsia="Times New Roman" w:hAnsi="Consolas" w:cs="Consolas"/>
            <w:color w:val="0000FF"/>
            <w:sz w:val="26"/>
            <w:u w:val="single"/>
            <w:lang w:eastAsia="uk-UA"/>
          </w:rPr>
          <w:t>1540-06</w:t>
        </w:r>
      </w:hyperlink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)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78" w:name="o79"/>
      <w:bookmarkEnd w:id="78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lastRenderedPageBreak/>
        <w:t xml:space="preserve">     "Коли учасник спільної часткової власності на  жилий  будинок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збільшить  в  ньому  за  свій рахунок корисну площу будинку шляхом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прибудови,  надбудови або перебудови,  проведеної за згодою  решти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учасників  і в установленому порядку,  частки учасників у спільній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власності на будинок і порядок користування приміщеннями  в  ньому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підлягають відповідній зміні".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79" w:name="o80"/>
      <w:bookmarkEnd w:id="79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C. Закон України "Про місцеве самоврядування в Україні"</w:t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80" w:name="o81"/>
      <w:bookmarkEnd w:id="80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N 280/97-ВР ( </w:t>
      </w:r>
      <w:hyperlink r:id="rId22" w:tgtFrame="_blank" w:history="1">
        <w:r w:rsidRPr="00671F9B">
          <w:rPr>
            <w:rFonts w:ascii="Consolas" w:eastAsia="Times New Roman" w:hAnsi="Consolas" w:cs="Consolas"/>
            <w:color w:val="0000FF"/>
            <w:sz w:val="26"/>
            <w:u w:val="single"/>
            <w:lang w:eastAsia="uk-UA"/>
          </w:rPr>
          <w:t>280/97-ВР</w:t>
        </w:r>
      </w:hyperlink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) від 21 травня 1997 року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81" w:name="o82"/>
      <w:bookmarkEnd w:id="81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24. Відповідні  положення   Закону   України   "Про   місцеве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самоврядування в Україні" ( </w:t>
      </w:r>
      <w:hyperlink r:id="rId23" w:tgtFrame="_blank" w:history="1">
        <w:r w:rsidRPr="00671F9B">
          <w:rPr>
            <w:rFonts w:ascii="Consolas" w:eastAsia="Times New Roman" w:hAnsi="Consolas" w:cs="Consolas"/>
            <w:color w:val="0000FF"/>
            <w:sz w:val="26"/>
            <w:u w:val="single"/>
            <w:lang w:eastAsia="uk-UA"/>
          </w:rPr>
          <w:t>280/97-ВР</w:t>
        </w:r>
      </w:hyperlink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) передбачають: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82" w:name="o83"/>
      <w:bookmarkEnd w:id="82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                       </w:t>
      </w:r>
      <w:r w:rsidRPr="00671F9B">
        <w:rPr>
          <w:rFonts w:ascii="Consolas" w:eastAsia="Times New Roman" w:hAnsi="Consolas" w:cs="Consolas"/>
          <w:b/>
          <w:bCs/>
          <w:color w:val="292B2C"/>
          <w:sz w:val="26"/>
          <w:szCs w:val="26"/>
          <w:lang w:eastAsia="uk-UA"/>
        </w:rPr>
        <w:t>Стаття 60.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                   Право комунальної власності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                          ( </w:t>
      </w:r>
      <w:hyperlink r:id="rId24" w:tgtFrame="_blank" w:history="1">
        <w:r w:rsidRPr="00671F9B">
          <w:rPr>
            <w:rFonts w:ascii="Consolas" w:eastAsia="Times New Roman" w:hAnsi="Consolas" w:cs="Consolas"/>
            <w:color w:val="0000FF"/>
            <w:sz w:val="26"/>
            <w:u w:val="single"/>
            <w:lang w:eastAsia="uk-UA"/>
          </w:rPr>
          <w:t>280/97-ВР</w:t>
        </w:r>
      </w:hyperlink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)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83" w:name="o84"/>
      <w:bookmarkEnd w:id="83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"1. Територіальним  громадам  сіл,  селищ,  міст,  районів  у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містах належить право комунальної власності на рухоме  і  нерухоме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майно,... в тому числі...  житловий фонд,  нежитлові приміщення...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та інше майно [і майнові права],... визначені відповідно до закону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як  об'єкти права комунальної власності,  а також кошти,  отримані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>від їх відчуження.</w:t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84" w:name="o85"/>
      <w:bookmarkEnd w:id="84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...</w:t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85" w:name="o86"/>
      <w:bookmarkEnd w:id="85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5. Органи місцевого самоврядування від імені та  в  інтересах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територіальних    громад    відповідно    до   закону   здійснюють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правомочності  щодо  володіння,  користування   та   розпорядження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об'єктами права комунальної власності,  в тому числі виконують усі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майнові операції..., можуть... продавати і купувати,... вирішувати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питання їхнього відчуження..."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86" w:name="o87"/>
      <w:bookmarkEnd w:id="86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D. Закон України "Про приватизацію державного житлового</w:t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87" w:name="o88"/>
      <w:bookmarkEnd w:id="87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фонду" ( </w:t>
      </w:r>
      <w:hyperlink r:id="rId25" w:tgtFrame="_blank" w:history="1">
        <w:r w:rsidRPr="00671F9B">
          <w:rPr>
            <w:rFonts w:ascii="Consolas" w:eastAsia="Times New Roman" w:hAnsi="Consolas" w:cs="Consolas"/>
            <w:color w:val="0000FF"/>
            <w:sz w:val="26"/>
            <w:u w:val="single"/>
            <w:lang w:eastAsia="uk-UA"/>
          </w:rPr>
          <w:t>2482-12</w:t>
        </w:r>
      </w:hyperlink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) від 1992 року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88" w:name="o89"/>
      <w:bookmarkEnd w:id="88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25. Відповідні положення  Закону  України  "Про  приватизацію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державного житлового фонду" ( </w:t>
      </w:r>
      <w:hyperlink r:id="rId26" w:tgtFrame="_blank" w:history="1">
        <w:r w:rsidRPr="00671F9B">
          <w:rPr>
            <w:rFonts w:ascii="Consolas" w:eastAsia="Times New Roman" w:hAnsi="Consolas" w:cs="Consolas"/>
            <w:color w:val="0000FF"/>
            <w:sz w:val="26"/>
            <w:u w:val="single"/>
            <w:lang w:eastAsia="uk-UA"/>
          </w:rPr>
          <w:t>2482-12</w:t>
        </w:r>
      </w:hyperlink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) передбачають: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89" w:name="o90"/>
      <w:bookmarkEnd w:id="89"/>
      <w:r w:rsidRPr="00671F9B">
        <w:rPr>
          <w:rFonts w:ascii="Consolas" w:eastAsia="Times New Roman" w:hAnsi="Consolas" w:cs="Consolas"/>
          <w:b/>
          <w:bCs/>
          <w:color w:val="292B2C"/>
          <w:sz w:val="26"/>
          <w:szCs w:val="26"/>
          <w:lang w:eastAsia="uk-UA"/>
        </w:rPr>
        <w:t xml:space="preserve">                      Стаття 10 ( </w:t>
      </w:r>
      <w:hyperlink r:id="rId27" w:tgtFrame="_blank" w:history="1">
        <w:r w:rsidRPr="00671F9B">
          <w:rPr>
            <w:rFonts w:ascii="Consolas" w:eastAsia="Times New Roman" w:hAnsi="Consolas" w:cs="Consolas"/>
            <w:b/>
            <w:bCs/>
            <w:color w:val="0000FF"/>
            <w:sz w:val="26"/>
            <w:u w:val="single"/>
            <w:lang w:eastAsia="uk-UA"/>
          </w:rPr>
          <w:t>2482-12</w:t>
        </w:r>
      </w:hyperlink>
      <w:r w:rsidRPr="00671F9B">
        <w:rPr>
          <w:rFonts w:ascii="Consolas" w:eastAsia="Times New Roman" w:hAnsi="Consolas" w:cs="Consolas"/>
          <w:b/>
          <w:bCs/>
          <w:color w:val="292B2C"/>
          <w:sz w:val="26"/>
          <w:szCs w:val="26"/>
          <w:lang w:eastAsia="uk-UA"/>
        </w:rPr>
        <w:t xml:space="preserve"> ) </w:t>
      </w:r>
      <w:r w:rsidRPr="00671F9B">
        <w:rPr>
          <w:rFonts w:ascii="Consolas" w:eastAsia="Times New Roman" w:hAnsi="Consolas" w:cs="Consolas"/>
          <w:b/>
          <w:bCs/>
          <w:color w:val="292B2C"/>
          <w:sz w:val="26"/>
          <w:szCs w:val="26"/>
          <w:lang w:eastAsia="uk-UA"/>
        </w:rPr>
        <w:br/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90" w:name="o91"/>
      <w:bookmarkEnd w:id="90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"...</w:t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91" w:name="o92"/>
      <w:bookmarkEnd w:id="91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2. Власники   квартир    багатоквартирних    будинків...    є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співвласниками    допоміжних    приміщень   будинку...   Допоміжні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>приміщення  (</w:t>
      </w:r>
      <w:proofErr w:type="spellStart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>кладовки</w:t>
      </w:r>
      <w:proofErr w:type="spellEnd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,  сараї  і  т.  ін.) передаються у власність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>квартиронаймачів безоплатно і окремо приватизації не підлягають.</w:t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92" w:name="o93"/>
      <w:bookmarkEnd w:id="92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3. Для забезпечення ефективного  використання  приватизованих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квартир та  управління ними власники квартир (будинків)...  можуть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створювати  товариства  або  об'єднання  індивідуальних  власників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квартир (будинків). У багатоквартирному будинку, квартири якого не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повністю    приватизовані,    між    товариством     (об'єднанням)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lastRenderedPageBreak/>
        <w:t xml:space="preserve">індивідуальних  власників  квартир  і  власниками неприватизованих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квартир укладається угода про спільне  володіння  багатоквартирним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будинком та дольову участь у витратах на його утримання".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93" w:name="o94"/>
      <w:bookmarkEnd w:id="93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E. Рішення Конституційного Суду України</w:t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94" w:name="o95"/>
      <w:bookmarkEnd w:id="94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від 2 березня 2004 року (справа N 1-2/2004) ( </w:t>
      </w:r>
      <w:hyperlink r:id="rId28" w:tgtFrame="_blank" w:history="1">
        <w:r w:rsidRPr="00671F9B">
          <w:rPr>
            <w:rFonts w:ascii="Consolas" w:eastAsia="Times New Roman" w:hAnsi="Consolas" w:cs="Consolas"/>
            <w:color w:val="0000FF"/>
            <w:sz w:val="26"/>
            <w:u w:val="single"/>
            <w:lang w:eastAsia="uk-UA"/>
          </w:rPr>
          <w:t>v004p710-04</w:t>
        </w:r>
      </w:hyperlink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)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95" w:name="o96"/>
      <w:bookmarkEnd w:id="95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26. У відповідній частині рішення зазначено:</w:t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96" w:name="o97"/>
      <w:bookmarkEnd w:id="96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"... Підставою    для    розгляду   справи...   є   практична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необхідність у...  офіційній інтерпретації  положень...  пункту  2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статті  10  Закону  України "Про приватизацію державного житлового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фонду" ( </w:t>
      </w:r>
      <w:hyperlink r:id="rId29" w:tgtFrame="_blank" w:history="1">
        <w:r w:rsidRPr="00671F9B">
          <w:rPr>
            <w:rFonts w:ascii="Consolas" w:eastAsia="Times New Roman" w:hAnsi="Consolas" w:cs="Consolas"/>
            <w:color w:val="0000FF"/>
            <w:sz w:val="26"/>
            <w:u w:val="single"/>
            <w:lang w:eastAsia="uk-UA"/>
          </w:rPr>
          <w:t>2482-12</w:t>
        </w:r>
      </w:hyperlink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),  наявність  неоднозначного  застосування  цих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положень Закону органами державної влади,  в тому числі судами, та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>органами місцевого самоврядування...</w:t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97" w:name="o98"/>
      <w:bookmarkEnd w:id="97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... Положення   пункту   2  статті  10  Закону  України  "Про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приватизацію  державного  житлового  фонду"  (  </w:t>
      </w:r>
      <w:hyperlink r:id="rId30" w:tgtFrame="_blank" w:history="1">
        <w:r w:rsidRPr="00671F9B">
          <w:rPr>
            <w:rFonts w:ascii="Consolas" w:eastAsia="Times New Roman" w:hAnsi="Consolas" w:cs="Consolas"/>
            <w:color w:val="0000FF"/>
            <w:sz w:val="26"/>
            <w:u w:val="single"/>
            <w:lang w:eastAsia="uk-UA"/>
          </w:rPr>
          <w:t>2482-12</w:t>
        </w:r>
      </w:hyperlink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)   треба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>розуміти так:</w:t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98" w:name="o99"/>
      <w:bookmarkEnd w:id="98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1.1. Допоміжні приміщення (підвали,  сараї, </w:t>
      </w:r>
      <w:proofErr w:type="spellStart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>кладовки</w:t>
      </w:r>
      <w:proofErr w:type="spellEnd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, горища,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</w:r>
      <w:proofErr w:type="spellStart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>колясочні</w:t>
      </w:r>
      <w:proofErr w:type="spellEnd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і  т.  ін.)  передаються безоплатно у спільну власність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громадян одночасно  з  приватизацією  ними   квартир   (кімнат   у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квартирах)    багатоквартирних   будинків.   Підтвердження   права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власності  на  допоміжні   приміщення   не   потребує   здійснення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додаткових   дій,   зокрема   створення  об'єднання  співвласників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>багатоквартирного будинку, вступу до нього.</w:t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99" w:name="o100"/>
      <w:bookmarkEnd w:id="99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1.2. Власник      (власники)     неприватизованих     квартир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багатоквартирного   будинку   є   співвласником   (співвласниками)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допоміжних приміщень    нарівні    з   власниками   приватизованих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квартир..."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100" w:name="o101"/>
      <w:bookmarkEnd w:id="100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F. Практика українських судів у справах про відчуження</w:t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101" w:name="o102"/>
      <w:bookmarkEnd w:id="101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допоміжних приміщень у багатоквартирному будинку</w:t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102" w:name="o103"/>
      <w:bookmarkEnd w:id="102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без згоди власників квартир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103" w:name="o104"/>
      <w:bookmarkEnd w:id="103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27. Ухвалою  від  7  серпня  2003  року  (справа  N  22-3816)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апеляційний  суд  м.  Києва скасував рішення Печерського районного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суду м.  Києва від 7 квітня 2003 року, яким було визнано законними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реконструкцію горища і передачу права на нього інвестору. Зокрема,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апеляційний  суд  визнав  недійсним  контракт  про  реконструкцію,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укладений   між   районною   адміністрацією  і  третьою  особою  -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інвестором без згоди позивачів - власників приватизованих  квартир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у   багатоквартирному   будинку.   23  грудня  2004  року  рішення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апеляційного суду було залишено без змін Верховним Судом України і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набрало  законної  сили.  Мотивуючи  своє  рішення,  суд зазначив,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>зокрема:</w:t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104" w:name="o105"/>
      <w:bookmarkEnd w:id="104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"... Відмовляючи у задоволенні позову, суд [першої інстанції]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виходив  з  того,  що  на  час  передачі  горищного  приміщення  у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власність [інвестору]  С.  право  спільної  власності  на  горищне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приміщення у власника приватизованих квартир не виникло,  оскільки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таке  право  могло  виникнути лише після приватизації всіх квартир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lastRenderedPageBreak/>
        <w:t xml:space="preserve">будинку...  та укладення ними угоди про спільне володіння житловим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будинком і участь у витратах на його утримання.  Оскільки... угоду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про спільне володіння цими [допоміжними] приміщеннями не укладали,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і утримання     цього    будинку    здійснюється...    комунальним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підприємством...,  то відповідач не повинен був  отримувати  згоду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>власників приватизованих квартир на переобладнання горища.</w:t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105" w:name="o106"/>
      <w:bookmarkEnd w:id="105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Проте погодитись з такими висновками неможливо,  оскільки суд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до   них   дійшов   внаслідок   неправильного   застосування  норм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>матеріального права.</w:t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106" w:name="o107"/>
      <w:bookmarkEnd w:id="106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...</w:t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107" w:name="o108"/>
      <w:bookmarkEnd w:id="107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...законом не передбачено,  що право  спільної  власності  на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допоміжні  приміщення  у  власників  квартир цього будинку виникає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лише після створення  об'єднання  співвласників  будинку...  Тобто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одночасно з приватизацією квартир, квартиронаймачі набувають право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власності на квартиру та допоміжні  приміщення  і  необхідності  у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додатковому  оформленні  права  власності  на допоміжні приміщення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>законом не передбачено.</w:t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108" w:name="o109"/>
      <w:bookmarkEnd w:id="108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...</w:t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109" w:name="o110"/>
      <w:bookmarkEnd w:id="109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Відповідно до статті 113 ЦК України (  </w:t>
      </w:r>
      <w:hyperlink r:id="rId31" w:tgtFrame="_blank" w:history="1">
        <w:r w:rsidRPr="00671F9B">
          <w:rPr>
            <w:rFonts w:ascii="Consolas" w:eastAsia="Times New Roman" w:hAnsi="Consolas" w:cs="Consolas"/>
            <w:color w:val="0000FF"/>
            <w:sz w:val="26"/>
            <w:u w:val="single"/>
            <w:lang w:eastAsia="uk-UA"/>
          </w:rPr>
          <w:t>1540-06</w:t>
        </w:r>
      </w:hyperlink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)  володіння,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користування   і   розпорядження  майном  при  спільній  частковій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власності провадиться за згодою всіх учасників,  а при відсутності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>згоди спір вирішується судом.</w:t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110" w:name="o111"/>
      <w:bookmarkEnd w:id="110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Багатоквартирний житловий будинок N  2-4/7  по  вулиці  П.  у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м. Києві,  в якому приватизовано 98 квартир,  перебуває в спільній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частковій власності громадян - власників приватизованих квартир та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відповідного  державного органу,  що виконує повноваження власника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>щодо неприватизованих квартир.</w:t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111" w:name="o112"/>
      <w:bookmarkEnd w:id="111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Таким чином,  орган  місцевого  самоврядування  не  має права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продавати,  здавати в оренду  або  вирішувати  питання  надбудови,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переобладнання  допоміжних  приміщень,  зокрема горища,  без згоди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>власників приватизованих квартир.</w:t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112" w:name="o113"/>
      <w:bookmarkEnd w:id="112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Враховуючи наведене,    доводи    позивачів    про   те,   що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інвестиційний контракт...  є недійсним  за  підстав,  передбачених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ст. 48  ЦК  України ( </w:t>
      </w:r>
      <w:hyperlink r:id="rId32" w:tgtFrame="_blank" w:history="1">
        <w:r w:rsidRPr="00671F9B">
          <w:rPr>
            <w:rFonts w:ascii="Consolas" w:eastAsia="Times New Roman" w:hAnsi="Consolas" w:cs="Consolas"/>
            <w:color w:val="0000FF"/>
            <w:sz w:val="26"/>
            <w:u w:val="single"/>
            <w:lang w:eastAsia="uk-UA"/>
          </w:rPr>
          <w:t>1540-06</w:t>
        </w:r>
      </w:hyperlink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),  є обґрунтованими,  оскільки така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угода не відповідає вимогам закону...".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113" w:name="o114"/>
      <w:bookmarkEnd w:id="113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28. Кілька  аналогічних  рішень  виніс  у   2003-2004   роках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Шевченківський  районний  суд,  який,  посилаючись  на  аналогічні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підстави, визнав незаконними контракти про реконструкцію, передачу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права  та  контракти  стосовно  горищ  багатоквартирних  будинків,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укладені органами влади без згоди власників приватизованих квартир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(це,  зокрема,  рішення від 30 грудня 2003 року у справі N 2-4364;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від 4 лютого 2004 року у справі  N  2-52/2004  і  від  23  березня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2004 року у справі N 2-170/04).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114" w:name="o115"/>
      <w:bookmarkEnd w:id="114"/>
      <w:r w:rsidRPr="00671F9B">
        <w:rPr>
          <w:rFonts w:ascii="Consolas" w:eastAsia="Times New Roman" w:hAnsi="Consolas" w:cs="Consolas"/>
          <w:b/>
          <w:bCs/>
          <w:color w:val="292B2C"/>
          <w:sz w:val="26"/>
          <w:szCs w:val="26"/>
          <w:lang w:eastAsia="uk-UA"/>
        </w:rPr>
        <w:t xml:space="preserve">                            ЩОДО ПРАВА </w:t>
      </w:r>
      <w:r w:rsidRPr="00671F9B">
        <w:rPr>
          <w:rFonts w:ascii="Consolas" w:eastAsia="Times New Roman" w:hAnsi="Consolas" w:cs="Consolas"/>
          <w:b/>
          <w:bCs/>
          <w:color w:val="292B2C"/>
          <w:sz w:val="26"/>
          <w:szCs w:val="26"/>
          <w:lang w:eastAsia="uk-UA"/>
        </w:rPr>
        <w:br/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115" w:name="o116"/>
      <w:bookmarkEnd w:id="115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           I. СТВЕРДЖУВАНЕ ПОРУШЕННЯ СТАТТІ 1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                  ПЕРШОГО ПРОТОКОЛУ ДО КОНВЕНЦІЇ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lastRenderedPageBreak/>
        <w:t xml:space="preserve">                           ( </w:t>
      </w:r>
      <w:hyperlink r:id="rId33" w:tgtFrame="_blank" w:history="1">
        <w:r w:rsidRPr="00671F9B">
          <w:rPr>
            <w:rFonts w:ascii="Consolas" w:eastAsia="Times New Roman" w:hAnsi="Consolas" w:cs="Consolas"/>
            <w:color w:val="0000FF"/>
            <w:sz w:val="26"/>
            <w:u w:val="single"/>
            <w:lang w:eastAsia="uk-UA"/>
          </w:rPr>
          <w:t>994_535</w:t>
        </w:r>
      </w:hyperlink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)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116" w:name="o117"/>
      <w:bookmarkEnd w:id="116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29. Заявники  передусім скаржилися,  що місцеві органи влади,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уклавши без їхньої згоди інвестиційний контракт  на  реконструкцію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горища  і  створення  мансардного поверху,  незаконно втрутилися в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їхнє право володіти горищем будинку.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117" w:name="o118"/>
      <w:bookmarkEnd w:id="117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30. Вони також скаржились на незаконне позбавлення їх  часток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власності   на   горище  в  результаті  винесення  районною  радою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одноособово рішення про їх передачу інвесторам.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118" w:name="o119"/>
      <w:bookmarkEnd w:id="118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31. Обґрунтовуючи згадані вище скарги, заявники посилались на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статтю 1 Першого протоколу ( </w:t>
      </w:r>
      <w:hyperlink r:id="rId34" w:tgtFrame="_blank" w:history="1">
        <w:r w:rsidRPr="00671F9B">
          <w:rPr>
            <w:rFonts w:ascii="Consolas" w:eastAsia="Times New Roman" w:hAnsi="Consolas" w:cs="Consolas"/>
            <w:color w:val="0000FF"/>
            <w:sz w:val="26"/>
            <w:u w:val="single"/>
            <w:lang w:eastAsia="uk-UA"/>
          </w:rPr>
          <w:t>994_535</w:t>
        </w:r>
      </w:hyperlink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), яка передбачає:</w:t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119" w:name="o120"/>
      <w:bookmarkEnd w:id="119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"Кожна фізична або юридична особа має  право  мирно  володіти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своїм  майном.  Ніхто  не  може  бути  позбавлений своєї власності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інакше як  в  інтересах  суспільства  і  на  умовах,  передбачених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>законом і загальними принципами міжнародного права.</w:t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120" w:name="o121"/>
      <w:bookmarkEnd w:id="120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Проте попередні положення жодним  чином  не  обмежують  право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держави вводити в дію такі закони,  які  вона вважає за необхідне,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щоб здійснювати контроль за  користуванням  майном  відповідно  до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загальних  інтересів або для забезпечення сплати податків чи інших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зборів або штрафів".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121" w:name="o122"/>
      <w:bookmarkEnd w:id="121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A. Щодо прийнятності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122" w:name="o123"/>
      <w:bookmarkEnd w:id="122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32. Уряд не подав зауважень щодо прийнятності зазначених вище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скарг.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123" w:name="o124"/>
      <w:bookmarkEnd w:id="123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33. Суд  вважає,  що  ці  скарги не є явно необґрунтованими у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значенні пункту 3(a) статті 35 Конвенції ( </w:t>
      </w:r>
      <w:hyperlink r:id="rId35" w:tgtFrame="_blank" w:history="1">
        <w:r w:rsidRPr="00671F9B">
          <w:rPr>
            <w:rFonts w:ascii="Consolas" w:eastAsia="Times New Roman" w:hAnsi="Consolas" w:cs="Consolas"/>
            <w:color w:val="0000FF"/>
            <w:sz w:val="26"/>
            <w:u w:val="single"/>
            <w:lang w:eastAsia="uk-UA"/>
          </w:rPr>
          <w:t>995_004</w:t>
        </w:r>
      </w:hyperlink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).  Суд  також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зазначає,  що  вони  не є неприйнятними з будь-яких інших підстав.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Отже, вони оголошуються прийнятними.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124" w:name="o125"/>
      <w:bookmarkEnd w:id="124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B. Щодо суті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125" w:name="o126"/>
      <w:bookmarkEnd w:id="125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1. Подання сторін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126" w:name="o127"/>
      <w:bookmarkEnd w:id="126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a) Заявники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127" w:name="o128"/>
      <w:bookmarkEnd w:id="127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34. Заявники стверджували,  що місцеві органи влади незаконно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втрутилися  в  їхнє  право  часткової  власності на горище будинку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уклавши інвестиційний контракт без їхньої згоди.  Ці органи  також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незаконно  позбавили  заявників  їхніх часток власності на горище,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передавши право на них інвестору без їхньої згоди.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128" w:name="o129"/>
      <w:bookmarkEnd w:id="128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35. На підтвердження своїх  доводів  заявники  надали  кілька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рішень,  ухвалених  національними  судами в інших справах,  які не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пов'язані  з  цією  справою  та  якими  суди  визнали  незаконними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аналогічні   одноособові  дії  органів  влади  щодо  реконструкції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lastRenderedPageBreak/>
        <w:t xml:space="preserve">допоміжних  приміщень  у  багатоквартирних  будинках   без   згоди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власників квартир.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129" w:name="o130"/>
      <w:bookmarkEnd w:id="129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36. Заявники також стверджували, що дії органів влади в їхній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справі були не лише  незаконними,  але  також  несправедливими  та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невиправданими,  оскільки  інвестори  зважали  виключно  на власні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інтереси.  Всупереч висновкам судів інвестори виконали  тільки  ті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роботи,  яких  потребувало  створення  мансардного  поверху,  і не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здійснювали роботи  з  відновлення  самого  будинку.  До  того  ж,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внаслідок зазначених робіт фактичний стан будинку погіршився.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130" w:name="o131"/>
      <w:bookmarkEnd w:id="130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b) Уряд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131" w:name="o132"/>
      <w:bookmarkEnd w:id="131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37. Уряд заперечував такі аргументи.  Він заявив, що заявники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необґрунтовано  заперечували  реконструкцію  горища   інвесторами,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оскільки  ці  роботи  були вигідними для усіх зацікавлених сторін.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Оскільки будинок був дуже старим і  перебував  у  поганому  стані,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відновлювальні  роботи на горищі були вкрай необхідними.  Оскільки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заявники,  які  є  співвласниками  горища,  не  погоджувались   на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проведення  відновлювальних робіт,  орган місцевого самоврядування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як власник трьох квартир  у  будинку  і,  відповідно,  співвласник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горища  оскаржив їхню незгоду в суді і отримав обґрунтоване судове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рішення,  яким було дозволено цей інвестиційний  проект.  Подальша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передача інвесторам мансарди, створеної замість горища, була також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законною і справедливою,  оскільки це  було  визнано  в  рішеннях,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винесених  цим  самим  судом  в  результаті  змагального  судового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процесу.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132" w:name="o133"/>
      <w:bookmarkEnd w:id="132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2. Оцінка Суду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133" w:name="o134"/>
      <w:bookmarkEnd w:id="133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a) Загальні принципи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134" w:name="o135"/>
      <w:bookmarkEnd w:id="134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38. Суд повторює,  що стаття 1 Першого протоколу ( </w:t>
      </w:r>
      <w:hyperlink r:id="rId36" w:tgtFrame="_blank" w:history="1">
        <w:r w:rsidRPr="00671F9B">
          <w:rPr>
            <w:rFonts w:ascii="Consolas" w:eastAsia="Times New Roman" w:hAnsi="Consolas" w:cs="Consolas"/>
            <w:color w:val="0000FF"/>
            <w:sz w:val="26"/>
            <w:u w:val="single"/>
            <w:lang w:eastAsia="uk-UA"/>
          </w:rPr>
          <w:t>994_535</w:t>
        </w:r>
      </w:hyperlink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),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по  суті,  гарантує  право  власності  і містить три окремі норми: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перша норма,  що сформульована у першому реченні частини першої та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має загальний характер, проголошує принцип мирного володіння своїм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майном;  друга, що міститься в другому реченні частини першої цієї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статті,  стосується  позбавлення  особи її майна і певним чином це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обумовлює;  третя норма,  зазначена в частині другій,  стосується,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зокрема,  права  держави  регулювати  питання користування майном.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Однак ці три норми не  можна  розглядати  як  "окремі",  тобто  не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пов'язані  між  собою:  друга  і  третя  норми  стосуються  певних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випадків втручання у право на  мирне  володіння  майном  і,  отже,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мають  тлумачитись  у  світлі  загального принципу,  проголошеного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>першою нормою (див.,  серед інших джерел, рішення у справі "</w:t>
      </w:r>
      <w:proofErr w:type="spellStart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>Літгоу</w:t>
      </w:r>
      <w:proofErr w:type="spellEnd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>та інші проти Сполученого Королівства" (</w:t>
      </w:r>
      <w:proofErr w:type="spellStart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>Lithgow</w:t>
      </w:r>
      <w:proofErr w:type="spellEnd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</w:t>
      </w:r>
      <w:proofErr w:type="spellStart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>and</w:t>
      </w:r>
      <w:proofErr w:type="spellEnd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</w:t>
      </w:r>
      <w:proofErr w:type="spellStart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>Others</w:t>
      </w:r>
      <w:proofErr w:type="spellEnd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v.  </w:t>
      </w:r>
      <w:proofErr w:type="spellStart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>the</w:t>
      </w:r>
      <w:proofErr w:type="spellEnd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</w:r>
      <w:proofErr w:type="spellStart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>United</w:t>
      </w:r>
      <w:proofErr w:type="spellEnd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</w:t>
      </w:r>
      <w:proofErr w:type="spellStart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>Kingdom</w:t>
      </w:r>
      <w:proofErr w:type="spellEnd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) від 8 липня 1986 року, п. 106, серія A, N 102).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135" w:name="o136"/>
      <w:bookmarkEnd w:id="135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lastRenderedPageBreak/>
        <w:t xml:space="preserve">     39. Будь-яке втручання  органу  влади  у  захищене  право  не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суперечитиме загальній нормі, викладеній у першому реченні частини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першої статті 1,  лише якщо забезпечено "справедливий баланс"  між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загальним інтересом суспільства та вимогами захисту основоположних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прав конкретної особи.  Питання стосовно того, чи було забезпечено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такий  справедливий  баланс,  стає актуальним лише після того,  як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встановлено,   що   відповідне   втручання   задовольнило   вимогу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>законності  і  не  було свавільним (див.  рішення у справі "</w:t>
      </w:r>
      <w:proofErr w:type="spellStart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>Беєлер</w:t>
      </w:r>
      <w:proofErr w:type="spellEnd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>проти Італії"  (</w:t>
      </w:r>
      <w:proofErr w:type="spellStart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>Beyeler</w:t>
      </w:r>
      <w:proofErr w:type="spellEnd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v.  </w:t>
      </w:r>
      <w:proofErr w:type="spellStart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>Italy</w:t>
      </w:r>
      <w:proofErr w:type="spellEnd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)  [GC],  N  33202/96,  п.  107,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ECHR 2000-I).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136" w:name="o137"/>
      <w:bookmarkEnd w:id="136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40. Вимога законності,  яка випливає з Конвенції ( </w:t>
      </w:r>
      <w:hyperlink r:id="rId37" w:tgtFrame="_blank" w:history="1">
        <w:r w:rsidRPr="00671F9B">
          <w:rPr>
            <w:rFonts w:ascii="Consolas" w:eastAsia="Times New Roman" w:hAnsi="Consolas" w:cs="Consolas"/>
            <w:color w:val="0000FF"/>
            <w:sz w:val="26"/>
            <w:u w:val="single"/>
            <w:lang w:eastAsia="uk-UA"/>
          </w:rPr>
          <w:t>995_004</w:t>
        </w:r>
      </w:hyperlink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),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означає  вимогу  дотримання  відповідних  положень   національного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закону  і  принципу  верховенства  права  (див.  рішення  у справі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>"</w:t>
      </w:r>
      <w:proofErr w:type="spellStart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>Ентрік</w:t>
      </w:r>
      <w:proofErr w:type="spellEnd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проти  Франції"  (</w:t>
      </w:r>
      <w:proofErr w:type="spellStart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>Hentrich</w:t>
      </w:r>
      <w:proofErr w:type="spellEnd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v.  </w:t>
      </w:r>
      <w:proofErr w:type="spellStart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>France</w:t>
      </w:r>
      <w:proofErr w:type="spellEnd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)  від  22   вересня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1994 року,  серія A,  N 296-A,  сс.  19-20,  п. 42). Хоча проблему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відносно тлумачення національного законодавства  мають  вирішувати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передусім  національні органи влади,  зокрема суди,  завдання Суду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полягає в тому,  щоб з'ясувати,  чи не суперечить результат такого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>тлумачення  положенням  Конвенції (див.  рішення у справі "</w:t>
      </w:r>
      <w:proofErr w:type="spellStart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>Кушоґлу</w:t>
      </w:r>
      <w:proofErr w:type="spellEnd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>проти Болгарії" (</w:t>
      </w:r>
      <w:proofErr w:type="spellStart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>Kushoglu</w:t>
      </w:r>
      <w:proofErr w:type="spellEnd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v.  </w:t>
      </w:r>
      <w:proofErr w:type="spellStart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>Bulgaria</w:t>
      </w:r>
      <w:proofErr w:type="spellEnd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),  N 48191/99,  п.  50, від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10 травня 2007 року). Отже, хоча Суд має лише обмежену компетенцію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з  перевірки  дотримання  національного  законодавства,  він  може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сформулювати  відповідні висновки за Конвенцією,  якщо встановить,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що при застосуванні закону в тій чи іншій справі національні  суди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припустилися явної помилки або застосували його так,  щоб ухвалити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>свавільне рішення (див. рішення у справах "Компанія "</w:t>
      </w:r>
      <w:proofErr w:type="spellStart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>Анхойзер</w:t>
      </w:r>
      <w:proofErr w:type="spellEnd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Буш"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проти Португалії"   (Anheuser-Busch   </w:t>
      </w:r>
      <w:proofErr w:type="spellStart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>Inc</w:t>
      </w:r>
      <w:proofErr w:type="spellEnd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.   v.   </w:t>
      </w:r>
      <w:proofErr w:type="spellStart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>Portugal</w:t>
      </w:r>
      <w:proofErr w:type="spellEnd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)  [GC],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>N 73049/01,  п.  83,  ECHR 2007-I,  "</w:t>
      </w:r>
      <w:proofErr w:type="spellStart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>Кузнецов</w:t>
      </w:r>
      <w:proofErr w:type="spellEnd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та інші проти Росії"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>(</w:t>
      </w:r>
      <w:proofErr w:type="spellStart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>Kuznetsov</w:t>
      </w:r>
      <w:proofErr w:type="spellEnd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</w:t>
      </w:r>
      <w:proofErr w:type="spellStart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>and</w:t>
      </w:r>
      <w:proofErr w:type="spellEnd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</w:t>
      </w:r>
      <w:proofErr w:type="spellStart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>Others</w:t>
      </w:r>
      <w:proofErr w:type="spellEnd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v.  </w:t>
      </w:r>
      <w:proofErr w:type="spellStart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>Russia</w:t>
      </w:r>
      <w:proofErr w:type="spellEnd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),  N 184/02,  пп. 70-74 і 84, від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>11 січня  2007  року,  "</w:t>
      </w:r>
      <w:proofErr w:type="spellStart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>Педурару</w:t>
      </w:r>
      <w:proofErr w:type="spellEnd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проти  Румунії"   (</w:t>
      </w:r>
      <w:proofErr w:type="spellStart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>Paduraru</w:t>
      </w:r>
      <w:proofErr w:type="spellEnd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v.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</w:r>
      <w:proofErr w:type="spellStart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>Romania</w:t>
      </w:r>
      <w:proofErr w:type="spellEnd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),   N   63252/00,   п.   98,   ECHR   2005-...   (витяги),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>"</w:t>
      </w:r>
      <w:proofErr w:type="spellStart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>Совтрансавто-Холдинг</w:t>
      </w:r>
      <w:proofErr w:type="spellEnd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" проти України" (  </w:t>
      </w:r>
      <w:hyperlink r:id="rId38" w:tgtFrame="_blank" w:history="1">
        <w:r w:rsidRPr="00671F9B">
          <w:rPr>
            <w:rFonts w:ascii="Consolas" w:eastAsia="Times New Roman" w:hAnsi="Consolas" w:cs="Consolas"/>
            <w:color w:val="0000FF"/>
            <w:sz w:val="26"/>
            <w:u w:val="single"/>
            <w:lang w:eastAsia="uk-UA"/>
          </w:rPr>
          <w:t>980_043</w:t>
        </w:r>
      </w:hyperlink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)  (</w:t>
      </w:r>
      <w:proofErr w:type="spellStart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>Sovtransavto</w:t>
      </w:r>
      <w:proofErr w:type="spellEnd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</w:r>
      <w:proofErr w:type="spellStart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>Holding</w:t>
      </w:r>
      <w:proofErr w:type="spellEnd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v.  </w:t>
      </w:r>
      <w:proofErr w:type="spellStart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>Ukraine</w:t>
      </w:r>
      <w:proofErr w:type="spellEnd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),  N 48553/99, пп. 79, 97 і 98, ECHR 2002-VII,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>згадані вище рішення у справах "</w:t>
      </w:r>
      <w:proofErr w:type="spellStart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>Беєлєр</w:t>
      </w:r>
      <w:proofErr w:type="spellEnd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проти Італії"  (</w:t>
      </w:r>
      <w:proofErr w:type="spellStart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>Beyeler</w:t>
      </w:r>
      <w:proofErr w:type="spellEnd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v.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</w:r>
      <w:proofErr w:type="spellStart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>Italy</w:t>
      </w:r>
      <w:proofErr w:type="spellEnd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>), п. 108, ECHR 2000-I, "</w:t>
      </w:r>
      <w:proofErr w:type="spellStart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>Кушоґлу</w:t>
      </w:r>
      <w:proofErr w:type="spellEnd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проти Болгарії" (</w:t>
      </w:r>
      <w:proofErr w:type="spellStart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>Kushoglu</w:t>
      </w:r>
      <w:proofErr w:type="spellEnd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v.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</w:r>
      <w:proofErr w:type="spellStart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>Bulgaria</w:t>
      </w:r>
      <w:proofErr w:type="spellEnd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), пп.  50-52, а також, </w:t>
      </w:r>
      <w:proofErr w:type="spellStart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>mutatis</w:t>
      </w:r>
      <w:proofErr w:type="spellEnd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</w:t>
      </w:r>
      <w:proofErr w:type="spellStart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>mutandis</w:t>
      </w:r>
      <w:proofErr w:type="spellEnd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, рішення у справі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>"</w:t>
      </w:r>
      <w:proofErr w:type="spellStart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>Цирліс</w:t>
      </w:r>
      <w:proofErr w:type="spellEnd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і  </w:t>
      </w:r>
      <w:proofErr w:type="spellStart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>Кулумпас</w:t>
      </w:r>
      <w:proofErr w:type="spellEnd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проти  Греції"  (</w:t>
      </w:r>
      <w:proofErr w:type="spellStart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>Tsirlis</w:t>
      </w:r>
      <w:proofErr w:type="spellEnd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</w:t>
      </w:r>
      <w:proofErr w:type="spellStart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>and</w:t>
      </w:r>
      <w:proofErr w:type="spellEnd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</w:t>
      </w:r>
      <w:proofErr w:type="spellStart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>Kouloumpas</w:t>
      </w:r>
      <w:proofErr w:type="spellEnd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v.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</w:r>
      <w:proofErr w:type="spellStart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>Greece</w:t>
      </w:r>
      <w:proofErr w:type="spellEnd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)  від  29  травня  1997  року,  </w:t>
      </w:r>
      <w:proofErr w:type="spellStart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>Reports</w:t>
      </w:r>
      <w:proofErr w:type="spellEnd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</w:t>
      </w:r>
      <w:proofErr w:type="spellStart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>of</w:t>
      </w:r>
      <w:proofErr w:type="spellEnd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</w:t>
      </w:r>
      <w:proofErr w:type="spellStart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>Judgments</w:t>
      </w:r>
      <w:proofErr w:type="spellEnd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</w:t>
      </w:r>
      <w:proofErr w:type="spellStart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>and</w:t>
      </w:r>
      <w:proofErr w:type="spellEnd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</w:r>
      <w:proofErr w:type="spellStart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>Decisions</w:t>
      </w:r>
      <w:proofErr w:type="spellEnd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1997-III, пп. 59-63).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137" w:name="o138"/>
      <w:bookmarkEnd w:id="137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b) </w:t>
      </w:r>
      <w:proofErr w:type="spellStart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>Стверджувана</w:t>
      </w:r>
      <w:proofErr w:type="spellEnd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незаконність   інвестиційного   контракту,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укладеного без згоди заявників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138" w:name="o139"/>
      <w:bookmarkEnd w:id="138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41. Суд відмічає спільність позицій  сторін  у  тому,  що  до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реконструкції горище,  про яке йдеться, належало на праві спільної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власності всім власникам квартир у будинку, включно із заявниками.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Отже,  стаття  1  Першого  протоколу  ( </w:t>
      </w:r>
      <w:hyperlink r:id="rId39" w:tgtFrame="_blank" w:history="1">
        <w:r w:rsidRPr="00671F9B">
          <w:rPr>
            <w:rFonts w:ascii="Consolas" w:eastAsia="Times New Roman" w:hAnsi="Consolas" w:cs="Consolas"/>
            <w:color w:val="0000FF"/>
            <w:sz w:val="26"/>
            <w:u w:val="single"/>
            <w:lang w:eastAsia="uk-UA"/>
          </w:rPr>
          <w:t>994_535</w:t>
        </w:r>
      </w:hyperlink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) застосовна в цій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справі.  Відповідно рішення місцевого органу влади щодо  укладення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lastRenderedPageBreak/>
        <w:t xml:space="preserve">контракту   на   реконструкцію  горища  третьою  особою  становило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втручання у право  заявників  володіти  своїм  майном  у  значенні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першого речення зазначеної статті.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139" w:name="o140"/>
      <w:bookmarkEnd w:id="139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42. Суд зауважує,  що,  вирішуючи спір між заявниками (іншими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співвласниками) і  місцевим  органом,  національні  судові  органи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чітко  зазначили,  що  згідно  з  чинними  на  той час положеннями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Цивільного  кодексу  (  </w:t>
      </w:r>
      <w:hyperlink r:id="rId40" w:tgtFrame="_blank" w:history="1">
        <w:r w:rsidRPr="00671F9B">
          <w:rPr>
            <w:rFonts w:ascii="Consolas" w:eastAsia="Times New Roman" w:hAnsi="Consolas" w:cs="Consolas"/>
            <w:color w:val="0000FF"/>
            <w:sz w:val="26"/>
            <w:u w:val="single"/>
            <w:lang w:eastAsia="uk-UA"/>
          </w:rPr>
          <w:t>1540-06</w:t>
        </w:r>
      </w:hyperlink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)  для  укладення  інвестиційного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контракту потрібна згода заявників, а в разі її відсутності органи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влади могли звернутись до суду,  щоб отримати дозвіл на проведення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відповідних  робіт  (див.  пункти  16  і 23 вище).  Втім,  районна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адміністрація не виконала цих вимог,  уклавши контракт  без  згоди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заявників   чи   судової  санкції.  Таким  чином,  як  випливає  з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обґрунтування національних  судів,  органи  влади  не  дотримались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умов, передбачених законом для укладення інвестиційного контракту.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140" w:name="o141"/>
      <w:bookmarkEnd w:id="140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43. Суд  зазначає,  що  в  кінцевому підсумку після виконання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контракту національні суди визнали його дійсним,  встановивши,  що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він вигідний для всіх співвласників будинку.  Отже, Суд вважає, що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немає  потреби  оцінювати,  чи  було  забезпечено   цим   рішенням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національних судів справедливий баланс інтересів.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141" w:name="o142"/>
      <w:bookmarkEnd w:id="141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44. З  цього  приводу  Суд  зауважує,  що  для цілей статті 1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Першого протоколу ( </w:t>
      </w:r>
      <w:hyperlink r:id="rId41" w:tgtFrame="_blank" w:history="1">
        <w:r w:rsidRPr="00671F9B">
          <w:rPr>
            <w:rFonts w:ascii="Consolas" w:eastAsia="Times New Roman" w:hAnsi="Consolas" w:cs="Consolas"/>
            <w:color w:val="0000FF"/>
            <w:sz w:val="26"/>
            <w:u w:val="single"/>
            <w:lang w:eastAsia="uk-UA"/>
          </w:rPr>
          <w:t>994_535</w:t>
        </w:r>
      </w:hyperlink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)  здійснювати  оцінку  справедливості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доцільно  лише  тоді,  коли відповідне втручання відповідає нормам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застосовного  законодавства.  Ані  з  матеріалів  справи,  ані  із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зауважень  Уряду  не  видно,  що  перед  укладенням інвестиційного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контракту існували якісь  обставини,  які  перешкоджали  місцевому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органу  отримати  дозвіл  на  реконструкцію  або безпосередньо від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співвласників горища, або в судовому порядку. Крім того, з наявних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матеріалів  не  вбачається,  що те чи інше положення національного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законодавства дозволяло  місцевому  органу  укласти  контракт  без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такої  згоди  або  у  випадку спору - без його судового вирішення.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Отже,  укладення інвестиційного контракту становило втручання, яке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не відповідало закону.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142" w:name="o143"/>
      <w:bookmarkEnd w:id="142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45. У  зв'язку з цим було порушено статтю 1 Першого протоколу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( </w:t>
      </w:r>
      <w:hyperlink r:id="rId42" w:tgtFrame="_blank" w:history="1">
        <w:r w:rsidRPr="00671F9B">
          <w:rPr>
            <w:rFonts w:ascii="Consolas" w:eastAsia="Times New Roman" w:hAnsi="Consolas" w:cs="Consolas"/>
            <w:color w:val="0000FF"/>
            <w:sz w:val="26"/>
            <w:u w:val="single"/>
            <w:lang w:eastAsia="uk-UA"/>
          </w:rPr>
          <w:t>994_535</w:t>
        </w:r>
      </w:hyperlink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).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143" w:name="o144"/>
      <w:bookmarkEnd w:id="143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c) </w:t>
      </w:r>
      <w:proofErr w:type="spellStart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>Стверджувана</w:t>
      </w:r>
      <w:proofErr w:type="spellEnd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незаконність  позбавлення  заявників  їхньої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частки власності на горище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144" w:name="o145"/>
      <w:bookmarkEnd w:id="144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46. Беручи  до  уваги  зазначені вище висновки,  що із самого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початку заявники мали право на частку  власності  на  горище,  Суд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вважає  встановленим той факт,  що після переобладнання горища під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мансардний  поверх,  який  було  передано   інвесторам,   заявники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втратили своє майно.  Отже,  їх позбавили їхнього майна у значенні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другого речення статті 1 Першого протоколу ( </w:t>
      </w:r>
      <w:hyperlink r:id="rId43" w:tgtFrame="_blank" w:history="1">
        <w:r w:rsidRPr="00671F9B">
          <w:rPr>
            <w:rFonts w:ascii="Consolas" w:eastAsia="Times New Roman" w:hAnsi="Consolas" w:cs="Consolas"/>
            <w:color w:val="0000FF"/>
            <w:sz w:val="26"/>
            <w:u w:val="single"/>
            <w:lang w:eastAsia="uk-UA"/>
          </w:rPr>
          <w:t>994_535</w:t>
        </w:r>
      </w:hyperlink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).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145" w:name="o146"/>
      <w:bookmarkEnd w:id="145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lastRenderedPageBreak/>
        <w:t xml:space="preserve">     47. Як свідчать документи в матеріалах  справи,  рішення  про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передачу  мансардного  поверху  інвесторам  було ухвалено районною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радою  одноособово  на  підставі  закону,  який   уповноважує   її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розпоряджатись комунальним майном.  29 січня 2003 року,  керуючись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статтею 60 Закону України "Про місцеве самоврядування  в  Україні"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( </w:t>
      </w:r>
      <w:hyperlink r:id="rId44" w:tgtFrame="_blank" w:history="1">
        <w:r w:rsidRPr="00671F9B">
          <w:rPr>
            <w:rFonts w:ascii="Consolas" w:eastAsia="Times New Roman" w:hAnsi="Consolas" w:cs="Consolas"/>
            <w:color w:val="0000FF"/>
            <w:sz w:val="26"/>
            <w:u w:val="single"/>
            <w:lang w:eastAsia="uk-UA"/>
          </w:rPr>
          <w:t>280/97-ВР</w:t>
        </w:r>
      </w:hyperlink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) (див.  пункт 24 вище),  Святошинський суд залишив це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рішення без змін,  зазначивши,  що будинок, про який ідеться в цій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справі, є комунальною власністю.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146" w:name="o147"/>
      <w:bookmarkEnd w:id="146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48. Із   зауважень  Уряду  або  інших  матеріалів  справи  не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вбачається, що висновки суду за статтею 60 зазначеного вище Закону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можуть узгоджуватися з посиланням суду на статтю 10 Закону України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"Про приватизацію державного  житлового  фонду"  (  </w:t>
      </w:r>
      <w:hyperlink r:id="rId45" w:tgtFrame="_blank" w:history="1">
        <w:r w:rsidRPr="00671F9B">
          <w:rPr>
            <w:rFonts w:ascii="Consolas" w:eastAsia="Times New Roman" w:hAnsi="Consolas" w:cs="Consolas"/>
            <w:color w:val="0000FF"/>
            <w:sz w:val="26"/>
            <w:u w:val="single"/>
            <w:lang w:eastAsia="uk-UA"/>
          </w:rPr>
          <w:t>2482-12</w:t>
        </w:r>
      </w:hyperlink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)  та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статтю 113 Цивільного кодексу України ( </w:t>
      </w:r>
      <w:hyperlink r:id="rId46" w:tgtFrame="_blank" w:history="1">
        <w:r w:rsidRPr="00671F9B">
          <w:rPr>
            <w:rFonts w:ascii="Consolas" w:eastAsia="Times New Roman" w:hAnsi="Consolas" w:cs="Consolas"/>
            <w:color w:val="0000FF"/>
            <w:sz w:val="26"/>
            <w:u w:val="single"/>
            <w:lang w:eastAsia="uk-UA"/>
          </w:rPr>
          <w:t>1540-06</w:t>
        </w:r>
      </w:hyperlink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) (див.  пункти 23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і 25 вище).  Зокрема,  керуючись цими статтями,  суд зазначив,  що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будинок  і  його  горище  належать  на  праві  спільної  часткової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власності всім власникам квартир  і  тому  повноваження  місцевого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органу   щодо  розпорядження  горищем  обмежується  часткою  трьох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неприватизованих квартир.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147" w:name="o148"/>
      <w:bookmarkEnd w:id="147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49. З тексту рішення Святошинського суду не вбачається,  що в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певний  момент  після  укладення  інвестиційного  контракту,  який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аналізувався з точки зору статті 113  Цивільного  кодексу  України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( </w:t>
      </w:r>
      <w:hyperlink r:id="rId47" w:tgtFrame="_blank" w:history="1">
        <w:r w:rsidRPr="00671F9B">
          <w:rPr>
            <w:rFonts w:ascii="Consolas" w:eastAsia="Times New Roman" w:hAnsi="Consolas" w:cs="Consolas"/>
            <w:color w:val="0000FF"/>
            <w:sz w:val="26"/>
            <w:u w:val="single"/>
            <w:lang w:eastAsia="uk-UA"/>
          </w:rPr>
          <w:t>1540-06</w:t>
        </w:r>
      </w:hyperlink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),  та перед передачею мансардного поверху інвесторам на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підставі статті 60 Закону України "Про  місцеве  самоврядування  в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Україні" ( </w:t>
      </w:r>
      <w:hyperlink r:id="rId48" w:tgtFrame="_blank" w:history="1">
        <w:r w:rsidRPr="00671F9B">
          <w:rPr>
            <w:rFonts w:ascii="Consolas" w:eastAsia="Times New Roman" w:hAnsi="Consolas" w:cs="Consolas"/>
            <w:color w:val="0000FF"/>
            <w:sz w:val="26"/>
            <w:u w:val="single"/>
            <w:lang w:eastAsia="uk-UA"/>
          </w:rPr>
          <w:t>280/97-ВР</w:t>
        </w:r>
      </w:hyperlink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) заявники або інші власники квартир передали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їх право на горище місцевому органу чи принаймні  делегували  йому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право  розпоряджатись  ним.  Навпаки,  у  своїй апеляційній скарзі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заявники наполягали, що вони вважали себе співвласниками горища до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того часу, коли його було передано інвесторам.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148" w:name="o149"/>
      <w:bookmarkEnd w:id="148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50. Апеляційний  суд м.  Києва залишив рішення Святошинського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суду без змін. Однак, формально не заперечуючи його обґрунтування,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цей суд замість роз'яснення застосовності статті 60 Закону України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"Про місцеве самоврядування в Україні" ( </w:t>
      </w:r>
      <w:hyperlink r:id="rId49" w:tgtFrame="_blank" w:history="1">
        <w:r w:rsidRPr="00671F9B">
          <w:rPr>
            <w:rFonts w:ascii="Consolas" w:eastAsia="Times New Roman" w:hAnsi="Consolas" w:cs="Consolas"/>
            <w:color w:val="0000FF"/>
            <w:sz w:val="26"/>
            <w:u w:val="single"/>
            <w:lang w:eastAsia="uk-UA"/>
          </w:rPr>
          <w:t>280/97-ВР</w:t>
        </w:r>
      </w:hyperlink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) щодо передачі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горища  визнав,  що  право  власності  на  нього  органу місцевого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самоврядування ґрунтується на іншому положенні Цивільного  кодексу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(статті   119,  див.  пункт  23  вище),  яке  врегульовує  питання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збільшення розміру частки учасника у  спільній  власності  в  разі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його  інвестування у збільшення спільної власності.  Згідно з цією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статтею попередньою умовою збільшення зазначеної  частки  є  згода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співвласників  на  проведення відповідних робіт і проведення їх за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кошти співвласника,  якому передається право на відповідне  майно.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Апеляційний суд не пояснив,  яким чином таких попередніх умов було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дотримано у цій справі,  де інвестиційний контракт  був  укладений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органом  влади,  який  заявив,  що є одноосібним власником будинку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(див. пункт 8 вище), а реконструкцію було здійснено коштом третьої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особи.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149" w:name="o150"/>
      <w:bookmarkEnd w:id="149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lastRenderedPageBreak/>
        <w:t xml:space="preserve">     51. Суд  зазначає,  що  протягом певного часу після прийняття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нового  приватизаційного   законодавства   існувала   неоднозначна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практика  судів,  про що свідчать приклади судових рішень,  надані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заявниками (див. пункти 27-28 і 35 вище). Суд також висловлює своє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розуміння   того,  що  органи  влади,  зокрема  національні  суди,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потребували  певного  часу  для  того,  щоб   у   новій   ситуації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напрацювати   відповідну   практику   з   вирішення   питань   про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експлуатацію  допоміжних  приміщень.  Він  зазначає,  що  труднощі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тлумачення застосовного законодавства протягом перехідного періоду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стали  предметом  розгляду  Конституційного  Суду  України,   який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зрештою  дав  роз'яснення  цього  питання,  визнавши  наявність  у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власників приватизованих  квартир  автоматичного  права  часткової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власності на    допоміжні    приміщення    відповідного    будинку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(див. пункт 26 вище).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150" w:name="o151"/>
      <w:bookmarkEnd w:id="150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52. Однак,  як видно з матеріалів справи,  не існувало чітких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законодавчих  положень,  які  були б підставою для припинення прав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часткової власності заявників на горище їхнього будинку.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151" w:name="o152"/>
      <w:bookmarkEnd w:id="151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53. Отже, заявників позбавили їхнього майна незаконно.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152" w:name="o153"/>
      <w:bookmarkEnd w:id="152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54. У зв'язку з цим було порушено статтю 1 Першого  протоколу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( </w:t>
      </w:r>
      <w:hyperlink r:id="rId50" w:tgtFrame="_blank" w:history="1">
        <w:r w:rsidRPr="00671F9B">
          <w:rPr>
            <w:rFonts w:ascii="Consolas" w:eastAsia="Times New Roman" w:hAnsi="Consolas" w:cs="Consolas"/>
            <w:color w:val="0000FF"/>
            <w:sz w:val="26"/>
            <w:u w:val="single"/>
            <w:lang w:eastAsia="uk-UA"/>
          </w:rPr>
          <w:t>994_535</w:t>
        </w:r>
      </w:hyperlink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).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153" w:name="o154"/>
      <w:bookmarkEnd w:id="153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               II. СТВЕРДЖУВАНЕ ПОРУШЕННЯ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                   ПУНКТУ 1 СТАТТІ 6 КОНВЕНЦІЇ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                           ( </w:t>
      </w:r>
      <w:hyperlink r:id="rId51" w:tgtFrame="_blank" w:history="1">
        <w:r w:rsidRPr="00671F9B">
          <w:rPr>
            <w:rFonts w:ascii="Consolas" w:eastAsia="Times New Roman" w:hAnsi="Consolas" w:cs="Consolas"/>
            <w:color w:val="0000FF"/>
            <w:sz w:val="26"/>
            <w:u w:val="single"/>
            <w:lang w:eastAsia="uk-UA"/>
          </w:rPr>
          <w:t>995_004</w:t>
        </w:r>
      </w:hyperlink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)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154" w:name="o155"/>
      <w:bookmarkEnd w:id="154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55. Заявники   також   скаржились,   що  судові  рішення  про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відхилення їхніх позовів були свавільними, оскільки суди не надали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чіткого   обґрунтування   передачі   права   на  горище.  Заявники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посилались на пункт 1 статті 6  Конвенції  (  </w:t>
      </w:r>
      <w:hyperlink r:id="rId52" w:tgtFrame="_blank" w:history="1">
        <w:r w:rsidRPr="00671F9B">
          <w:rPr>
            <w:rFonts w:ascii="Consolas" w:eastAsia="Times New Roman" w:hAnsi="Consolas" w:cs="Consolas"/>
            <w:color w:val="0000FF"/>
            <w:sz w:val="26"/>
            <w:u w:val="single"/>
            <w:lang w:eastAsia="uk-UA"/>
          </w:rPr>
          <w:t>995_004</w:t>
        </w:r>
      </w:hyperlink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),  який  у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>відповідній частині передбачає:</w:t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155" w:name="o156"/>
      <w:bookmarkEnd w:id="155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"Кожен має право на справедливий...  розгляд  його  справи...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судом,  встановленим законом..., який вирішить спір щодо його прав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та обов'язків цивільного характеру..."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156" w:name="o157"/>
      <w:bookmarkEnd w:id="156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56. Уряд,  не подавши зауважень  стосовно  прийнятності  цієї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скарги,  заявив,  що вона безпідставна,  оскільки національні суди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детально  обґрунтували  свої  рішення  і  їхня  оцінка   не   була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свавільною.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157" w:name="o158"/>
      <w:bookmarkEnd w:id="157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57. Суд  вважає,  що  ця скарга пов'язана зі скаргою стосовно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відсутності  законних  підстав  для  припинення  права   часткової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власності на горище і також має бути визнана прийнятною.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158" w:name="o159"/>
      <w:bookmarkEnd w:id="158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58. Суд повторює,  що згідно з його усталеною практикою,  яка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відображає принцип,  пов'язаний з належним здійсненням правосуддя,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у  рішеннях  судів  та інших органів з вирішення спорів мають бути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lastRenderedPageBreak/>
        <w:t xml:space="preserve">належним чином зазначені підстави,  на яких вони ґрунтуються. Хоча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пункт   1   статті   6  Конвенції  (  </w:t>
      </w:r>
      <w:hyperlink r:id="rId53" w:tgtFrame="_blank" w:history="1">
        <w:r w:rsidRPr="00671F9B">
          <w:rPr>
            <w:rFonts w:ascii="Consolas" w:eastAsia="Times New Roman" w:hAnsi="Consolas" w:cs="Consolas"/>
            <w:color w:val="0000FF"/>
            <w:sz w:val="26"/>
            <w:u w:val="single"/>
            <w:lang w:eastAsia="uk-UA"/>
          </w:rPr>
          <w:t>995_004</w:t>
        </w:r>
      </w:hyperlink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)  зобов'язує  суди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обґрунтовувати свої рішення,  його не можна тлумачити як такий, що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вимагає детальної відповіді на кожен аргумент.  Міра,  до якої суд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має виконати  обов'язок  щодо  обґрунтування  рішення,  може  бути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різною  в залежності від характеру рішення (див.  рішення у справі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>"</w:t>
      </w:r>
      <w:proofErr w:type="spellStart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>Руїс</w:t>
      </w:r>
      <w:proofErr w:type="spellEnd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</w:t>
      </w:r>
      <w:proofErr w:type="spellStart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>Торіха</w:t>
      </w:r>
      <w:proofErr w:type="spellEnd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проти Іспанії" (</w:t>
      </w:r>
      <w:proofErr w:type="spellStart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>Ruiz</w:t>
      </w:r>
      <w:proofErr w:type="spellEnd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</w:t>
      </w:r>
      <w:proofErr w:type="spellStart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>Torija</w:t>
      </w:r>
      <w:proofErr w:type="spellEnd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v.  </w:t>
      </w:r>
      <w:proofErr w:type="spellStart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>Spain</w:t>
      </w:r>
      <w:proofErr w:type="spellEnd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) від  9  грудня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1994 року,  серія A,  N 303-A,  п.  29). Хоча національний суд має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певну свободу розсуду щодо вибору аргументів у тій чи іншій справі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та прийняття доказів на підтвердження позицій сторін,  орган влади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зобов'язаний виправдати  свої  дії,  навівши  обґрунтування  своїх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>рішень (див. рішення у справі "</w:t>
      </w:r>
      <w:proofErr w:type="spellStart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>Суомінен</w:t>
      </w:r>
      <w:proofErr w:type="spellEnd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проти Фінляндії" (</w:t>
      </w:r>
      <w:proofErr w:type="spellStart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>Suominen</w:t>
      </w:r>
      <w:proofErr w:type="spellEnd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v.  </w:t>
      </w:r>
      <w:proofErr w:type="spellStart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>Finland</w:t>
      </w:r>
      <w:proofErr w:type="spellEnd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),  N 37801/97,  п. 36, від 1 липня 2003 року). Ще одне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призначення   обґрунтованого   рішення   полягає   в   тому,   щоб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продемонструвати  сторонам,  що  вони  були  почуті.  Крім   того,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вмотивоване  рішення  дає  стороні  можливість  оскаржити  його та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отримати його  перегляд  вищестоящою  інстанцією.  Лише  за  умови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винесення  обґрунтованого  рішення  може забезпечуватись публічний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>контроль здійснення правосуддя (див.  рішення у справі "</w:t>
      </w:r>
      <w:proofErr w:type="spellStart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>Гірвісаарі</w:t>
      </w:r>
      <w:proofErr w:type="spellEnd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>проти Фінляндії" (</w:t>
      </w:r>
      <w:proofErr w:type="spellStart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>Hirvisaari</w:t>
      </w:r>
      <w:proofErr w:type="spellEnd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v.  </w:t>
      </w:r>
      <w:proofErr w:type="spellStart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>Finland</w:t>
      </w:r>
      <w:proofErr w:type="spellEnd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),  N 49684/99, п. 30, від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27 вересня 2001 року).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159" w:name="o160"/>
      <w:bookmarkEnd w:id="159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59. Повертаючись до обставин справи,  яка розглядається,  Суд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повторює, що у своєму рішенні від 29 січня 2003 року Святошинський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суд визнав,  що до початку робіт з  реконструкції  горища  будинок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належав  на  праві  спільної  власності заявникам,  разом з іншими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власниками квартир,  та органу місцевого самоврядування.  Водночас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він  зазначив,  що орган місцевого самоврядування одноосібно і без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згоди заявників  мав  право  розпоряджатися  мансардним  поверхом,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оскільки  він  був  єдиним  власником  будинку.  Із  тексту  цього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судового рішення не  вбачається,  що  після  реконструкції  горища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заявників  позбавили  прав  спільного  володіння  або що з якихось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підстав  вони  втратили  ці  права.  Не  пояснено,  чому  заявники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вважалися співвласниками будинку в контексті реконструкції горища,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але не вважалися такими в контексті передачі права  на  мансардний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поверх.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160" w:name="o161"/>
      <w:bookmarkEnd w:id="160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60. Рішення   апеляційного   суду  м.  Києва  від  14  квітня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2003 року  з  цього  приводу  нічого  не  прояснило.  Навіть  якщо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припустити,  враховуючи  посилання  суду  на статтю 119 Цивільного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кодексу України ( </w:t>
      </w:r>
      <w:hyperlink r:id="rId54" w:tgtFrame="_blank" w:history="1">
        <w:r w:rsidRPr="00671F9B">
          <w:rPr>
            <w:rFonts w:ascii="Consolas" w:eastAsia="Times New Roman" w:hAnsi="Consolas" w:cs="Consolas"/>
            <w:color w:val="0000FF"/>
            <w:sz w:val="26"/>
            <w:u w:val="single"/>
            <w:lang w:eastAsia="uk-UA"/>
          </w:rPr>
          <w:t>1540-06</w:t>
        </w:r>
      </w:hyperlink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),  що мансардний поверх  -  як  частина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будинку,  побудована без участі заявників, не належить до спільної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власності,  залишається   незрозумілим,   на   яких   законодавчих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підставах  було  припинено  майнові  права  заявників  на  горище.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Апеляційний суд не прокоментував  того  факту,  що  в  статті  119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йдеться про роботи, виконані за рахунок одного із співвласників та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за згодою решти співвласників,  а у цій справі реконструкцію  було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проведено  за  рахунок  третьої особи,  якій один із співвласників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(орган місцевого самоврядування) одноособово і всупереч волі інших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lastRenderedPageBreak/>
        <w:t xml:space="preserve">співвласників  наперед  пообіцяв  надати  право на реконструйоване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приміщення. Більше того, з аргументації цього рішення не видно, чи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підтримав  апеляційний  суд  висновки  суду  першої  інстанції  за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статтею 60 Закону України "Про місцеве самоврядування  в  Україні"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( </w:t>
      </w:r>
      <w:hyperlink r:id="rId55" w:tgtFrame="_blank" w:history="1">
        <w:r w:rsidRPr="00671F9B">
          <w:rPr>
            <w:rFonts w:ascii="Consolas" w:eastAsia="Times New Roman" w:hAnsi="Consolas" w:cs="Consolas"/>
            <w:color w:val="0000FF"/>
            <w:sz w:val="26"/>
            <w:u w:val="single"/>
            <w:lang w:eastAsia="uk-UA"/>
          </w:rPr>
          <w:t>280/97-ВР</w:t>
        </w:r>
      </w:hyperlink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)   стосовно   права   власності   органу  місцевого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самоврядування на  будинок  як  такий,  чи  вирішив,  що  заявники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володіють на праві спільної власності будинком,  але не мансардним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поверхом.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161" w:name="o162"/>
      <w:bookmarkEnd w:id="161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61. За цих обставин Суд визнає,  що національні суди належним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чином не обґрунтували свої рішення.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162" w:name="o163"/>
      <w:bookmarkEnd w:id="162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62. Отже,  у  зв'язку  з  цим  мало  місце порушення пункту 1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статті 6 Конвенції ( </w:t>
      </w:r>
      <w:hyperlink r:id="rId56" w:tgtFrame="_blank" w:history="1">
        <w:r w:rsidRPr="00671F9B">
          <w:rPr>
            <w:rFonts w:ascii="Consolas" w:eastAsia="Times New Roman" w:hAnsi="Consolas" w:cs="Consolas"/>
            <w:color w:val="0000FF"/>
            <w:sz w:val="26"/>
            <w:u w:val="single"/>
            <w:lang w:eastAsia="uk-UA"/>
          </w:rPr>
          <w:t>995_004</w:t>
        </w:r>
      </w:hyperlink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).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163" w:name="o164"/>
      <w:bookmarkEnd w:id="163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              III. СТВЕРДЖУВАНЕ ПОРУШЕННЯ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                       СТАТТІ 13 КОНВЕНЦІЇ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                           ( </w:t>
      </w:r>
      <w:hyperlink r:id="rId57" w:tgtFrame="_blank" w:history="1">
        <w:r w:rsidRPr="00671F9B">
          <w:rPr>
            <w:rFonts w:ascii="Consolas" w:eastAsia="Times New Roman" w:hAnsi="Consolas" w:cs="Consolas"/>
            <w:color w:val="0000FF"/>
            <w:sz w:val="26"/>
            <w:u w:val="single"/>
            <w:lang w:eastAsia="uk-UA"/>
          </w:rPr>
          <w:t>995_004</w:t>
        </w:r>
      </w:hyperlink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)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164" w:name="o165"/>
      <w:bookmarkEnd w:id="164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63. Заявники також скаржились в контексті тих  самих  питань,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які були   підставою  скарги  за  пунктом  1  статті  6  Конвенції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( </w:t>
      </w:r>
      <w:hyperlink r:id="rId58" w:tgtFrame="_blank" w:history="1">
        <w:r w:rsidRPr="00671F9B">
          <w:rPr>
            <w:rFonts w:ascii="Consolas" w:eastAsia="Times New Roman" w:hAnsi="Consolas" w:cs="Consolas"/>
            <w:color w:val="0000FF"/>
            <w:sz w:val="26"/>
            <w:u w:val="single"/>
            <w:lang w:eastAsia="uk-UA"/>
          </w:rPr>
          <w:t>995_004</w:t>
        </w:r>
      </w:hyperlink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),  що вони були позбавлені ефективного  засобу  захисту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щодо  їхніх  скарг  за статтею 1 Першого протоколу ( </w:t>
      </w:r>
      <w:hyperlink r:id="rId59" w:tgtFrame="_blank" w:history="1">
        <w:r w:rsidRPr="00671F9B">
          <w:rPr>
            <w:rFonts w:ascii="Consolas" w:eastAsia="Times New Roman" w:hAnsi="Consolas" w:cs="Consolas"/>
            <w:color w:val="0000FF"/>
            <w:sz w:val="26"/>
            <w:u w:val="single"/>
            <w:lang w:eastAsia="uk-UA"/>
          </w:rPr>
          <w:t>994_535</w:t>
        </w:r>
      </w:hyperlink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).  У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зв'язку  з  цим  вони  посилалися  на  статтю  13  Конвенції,  яка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>передбачає:</w:t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165" w:name="o166"/>
      <w:bookmarkEnd w:id="165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"Кожен, чиї права та свободи,  визнані в цій Конвенції,  було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порушено,  має  право  на  ефективний  засіб  юридичного захисту в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національному органі,  навіть якщо  таке  порушення  було  вчинене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особами, які здійснювали свої офіційні повноваження".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166" w:name="o167"/>
      <w:bookmarkEnd w:id="166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64. Суд не вважає за необхідне розглядати цю скаргу, оскільки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у випадку,  якщо заявлене право  має  цивільний  характер,  вимоги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статті 13   є   менш  суворими,  ніж  вимоги  пункту  1  статті  6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( </w:t>
      </w:r>
      <w:hyperlink r:id="rId60" w:tgtFrame="_blank" w:history="1">
        <w:r w:rsidRPr="00671F9B">
          <w:rPr>
            <w:rFonts w:ascii="Consolas" w:eastAsia="Times New Roman" w:hAnsi="Consolas" w:cs="Consolas"/>
            <w:color w:val="0000FF"/>
            <w:sz w:val="26"/>
            <w:u w:val="single"/>
            <w:lang w:eastAsia="uk-UA"/>
          </w:rPr>
          <w:t>995_004</w:t>
        </w:r>
      </w:hyperlink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),  і  поглинаються  ними  (див.,  серед  інших  джерел,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>рішення  у  справах  "Компанія  "</w:t>
      </w:r>
      <w:proofErr w:type="spellStart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>Бритіш</w:t>
      </w:r>
      <w:proofErr w:type="spellEnd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</w:t>
      </w:r>
      <w:proofErr w:type="spellStart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>Америкам</w:t>
      </w:r>
      <w:proofErr w:type="spellEnd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</w:t>
      </w:r>
      <w:proofErr w:type="spellStart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>Тобакко</w:t>
      </w:r>
      <w:proofErr w:type="spellEnd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"  проти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Нідерландів"  (British-American  </w:t>
      </w:r>
      <w:proofErr w:type="spellStart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>Tobacco</w:t>
      </w:r>
      <w:proofErr w:type="spellEnd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</w:t>
      </w:r>
      <w:proofErr w:type="spellStart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>Company</w:t>
      </w:r>
      <w:proofErr w:type="spellEnd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</w:t>
      </w:r>
      <w:proofErr w:type="spellStart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>Ltd</w:t>
      </w:r>
      <w:proofErr w:type="spellEnd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v.   </w:t>
      </w:r>
      <w:proofErr w:type="spellStart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>the</w:t>
      </w:r>
      <w:proofErr w:type="spellEnd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</w:r>
      <w:proofErr w:type="spellStart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>Netherlands</w:t>
      </w:r>
      <w:proofErr w:type="spellEnd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) від 20 листопада 1995,  серія A, N 331, с. 29, п. 89,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>"</w:t>
      </w:r>
      <w:proofErr w:type="spellStart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>Бауманн</w:t>
      </w:r>
      <w:proofErr w:type="spellEnd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проти Франції" (</w:t>
      </w:r>
      <w:proofErr w:type="spellStart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>Baumann</w:t>
      </w:r>
      <w:proofErr w:type="spellEnd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v.  </w:t>
      </w:r>
      <w:proofErr w:type="spellStart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>France</w:t>
      </w:r>
      <w:proofErr w:type="spellEnd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),  N 33592/96,  п. 39,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>від  22  травня  2001  року,  "</w:t>
      </w:r>
      <w:proofErr w:type="spellStart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>Кришан</w:t>
      </w:r>
      <w:proofErr w:type="spellEnd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проти  Румунії"  (</w:t>
      </w:r>
      <w:proofErr w:type="spellStart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>Crisan</w:t>
      </w:r>
      <w:proofErr w:type="spellEnd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v.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</w:r>
      <w:proofErr w:type="spellStart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>Romania</w:t>
      </w:r>
      <w:proofErr w:type="spellEnd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),  N 42930/98, п. 32, від 27 травня 2003 року, та "Капітал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>Банк АД"   проти   Болгарії"   (</w:t>
      </w:r>
      <w:proofErr w:type="spellStart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>Capital</w:t>
      </w:r>
      <w:proofErr w:type="spellEnd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</w:t>
      </w:r>
      <w:proofErr w:type="spellStart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>Bank</w:t>
      </w:r>
      <w:proofErr w:type="spellEnd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AD  v.  </w:t>
      </w:r>
      <w:proofErr w:type="spellStart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>Bulgaria</w:t>
      </w:r>
      <w:proofErr w:type="spellEnd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),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N 49429/99, п. 121, від 24 листопада 2005 року).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167" w:name="o168"/>
      <w:bookmarkEnd w:id="167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               IV. СТВЕРДЖУВАНЕ ПОРУШЕННЯ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                        СТАТТІ 8 КОНВЕНЦІЇ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                           ( </w:t>
      </w:r>
      <w:hyperlink r:id="rId61" w:tgtFrame="_blank" w:history="1">
        <w:r w:rsidRPr="00671F9B">
          <w:rPr>
            <w:rFonts w:ascii="Consolas" w:eastAsia="Times New Roman" w:hAnsi="Consolas" w:cs="Consolas"/>
            <w:color w:val="0000FF"/>
            <w:sz w:val="26"/>
            <w:u w:val="single"/>
            <w:lang w:eastAsia="uk-UA"/>
          </w:rPr>
          <w:t>995_004</w:t>
        </w:r>
      </w:hyperlink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)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168" w:name="o169"/>
      <w:bookmarkEnd w:id="168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65. Насамкінець,   посилаючись   на   статтю   8    Конвенції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( </w:t>
      </w:r>
      <w:hyperlink r:id="rId62" w:tgtFrame="_blank" w:history="1">
        <w:r w:rsidRPr="00671F9B">
          <w:rPr>
            <w:rFonts w:ascii="Consolas" w:eastAsia="Times New Roman" w:hAnsi="Consolas" w:cs="Consolas"/>
            <w:color w:val="0000FF"/>
            <w:sz w:val="26"/>
            <w:u w:val="single"/>
            <w:lang w:eastAsia="uk-UA"/>
          </w:rPr>
          <w:t>995_004</w:t>
        </w:r>
      </w:hyperlink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), заявники скаржились, що під час проведення робіт вони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lastRenderedPageBreak/>
        <w:t xml:space="preserve">були змушені жити в нестерпних умовах і  що  внаслідок  цих  робіт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було спричинено шкоду їхнім квартирам.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169" w:name="o170"/>
      <w:bookmarkEnd w:id="169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66. Незалежно  від  питання  про  те,  хто має відповідати за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шкоду - держава чи приватний підрядник,  Суд зазначає, що заявники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не  надали  ніяких  матеріалів,  які  б  свідчили про те,  що вони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звертались у встановленому порядку  з  відповідною  за  формою  чи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змістом  скаргою  до  національних органів і вичерпали у зв'язку з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цим наявні на національному рівні засоби юридичного захисту.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170" w:name="o171"/>
      <w:bookmarkEnd w:id="170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67. Отже,  ця частина заяви підлягає відхиленню відповідно до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пунктів 1 і 4 статті 35 Конвенції ( </w:t>
      </w:r>
      <w:hyperlink r:id="rId63" w:tgtFrame="_blank" w:history="1">
        <w:r w:rsidRPr="00671F9B">
          <w:rPr>
            <w:rFonts w:ascii="Consolas" w:eastAsia="Times New Roman" w:hAnsi="Consolas" w:cs="Consolas"/>
            <w:color w:val="0000FF"/>
            <w:sz w:val="26"/>
            <w:u w:val="single"/>
            <w:lang w:eastAsia="uk-UA"/>
          </w:rPr>
          <w:t>995_004</w:t>
        </w:r>
      </w:hyperlink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) як неприйнятна.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171" w:name="o172"/>
      <w:bookmarkEnd w:id="171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               V. ЗАСТОСУВАННЯ СТАТТІ 41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                      КОНВЕНЦІЇ ( </w:t>
      </w:r>
      <w:hyperlink r:id="rId64" w:tgtFrame="_blank" w:history="1">
        <w:r w:rsidRPr="00671F9B">
          <w:rPr>
            <w:rFonts w:ascii="Consolas" w:eastAsia="Times New Roman" w:hAnsi="Consolas" w:cs="Consolas"/>
            <w:color w:val="0000FF"/>
            <w:sz w:val="26"/>
            <w:u w:val="single"/>
            <w:lang w:eastAsia="uk-UA"/>
          </w:rPr>
          <w:t>995_004</w:t>
        </w:r>
      </w:hyperlink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)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172" w:name="o173"/>
      <w:bookmarkEnd w:id="172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68. Стаття 41 Конвенції ( </w:t>
      </w:r>
      <w:hyperlink r:id="rId65" w:tgtFrame="_blank" w:history="1">
        <w:r w:rsidRPr="00671F9B">
          <w:rPr>
            <w:rFonts w:ascii="Consolas" w:eastAsia="Times New Roman" w:hAnsi="Consolas" w:cs="Consolas"/>
            <w:color w:val="0000FF"/>
            <w:sz w:val="26"/>
            <w:u w:val="single"/>
            <w:lang w:eastAsia="uk-UA"/>
          </w:rPr>
          <w:t>995_004</w:t>
        </w:r>
      </w:hyperlink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) передбачає:</w:t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173" w:name="o174"/>
      <w:bookmarkEnd w:id="173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"Якщо Суд  визнає  факт порушення Конвенції або протоколів до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неї і якщо внутрішнє право відповідної Високої Договірної  Сторони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передбачає лише часткове відшкодування,  Суд, у разі необхідності,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надає потерпілій стороні справедливу сатисфакцію".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174" w:name="o175"/>
      <w:bookmarkEnd w:id="174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69. Упродовж строку,  встановленого для подання  вимоги  щодо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справедливої сатисфакції,  заявники не звернулись з такою вимогою.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Тому Суд вважає, що присудження їм відшкодування не вимагається.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175" w:name="o176"/>
      <w:bookmarkEnd w:id="175"/>
      <w:r w:rsidRPr="00671F9B">
        <w:rPr>
          <w:rFonts w:ascii="Consolas" w:eastAsia="Times New Roman" w:hAnsi="Consolas" w:cs="Consolas"/>
          <w:b/>
          <w:bCs/>
          <w:color w:val="292B2C"/>
          <w:sz w:val="26"/>
          <w:szCs w:val="26"/>
          <w:lang w:eastAsia="uk-UA"/>
        </w:rPr>
        <w:t xml:space="preserve">                  ЗА ЦИХ ПІДСТАВ СУД ОДНОГОЛОСНО </w:t>
      </w:r>
      <w:r w:rsidRPr="00671F9B">
        <w:rPr>
          <w:rFonts w:ascii="Consolas" w:eastAsia="Times New Roman" w:hAnsi="Consolas" w:cs="Consolas"/>
          <w:b/>
          <w:bCs/>
          <w:color w:val="292B2C"/>
          <w:sz w:val="26"/>
          <w:szCs w:val="26"/>
          <w:lang w:eastAsia="uk-UA"/>
        </w:rPr>
        <w:br/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176" w:name="o177"/>
      <w:bookmarkEnd w:id="176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1. Оголошує  скарги   відносно   втручання   та   позбавлення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заявників  їх  майна та справедливості цивільного провадження щодо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цього прийнятними, а решту скарг у заяві - неприйнятними.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177" w:name="o178"/>
      <w:bookmarkEnd w:id="177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2. Постановляє,  що мало місце  порушення  статті  1  Першого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протоколу  до  Конвенції  (  </w:t>
      </w:r>
      <w:hyperlink r:id="rId66" w:tgtFrame="_blank" w:history="1">
        <w:r w:rsidRPr="00671F9B">
          <w:rPr>
            <w:rFonts w:ascii="Consolas" w:eastAsia="Times New Roman" w:hAnsi="Consolas" w:cs="Consolas"/>
            <w:color w:val="0000FF"/>
            <w:sz w:val="26"/>
            <w:u w:val="single"/>
            <w:lang w:eastAsia="uk-UA"/>
          </w:rPr>
          <w:t>994_535</w:t>
        </w:r>
      </w:hyperlink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) відносно укладення органом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влади інвестиційного контракту на проведення реконструкції  горища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без згоди заявників.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178" w:name="o179"/>
      <w:bookmarkEnd w:id="178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3. Постановляє,  що  мало  місце  порушення  статті 1 Першого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протоколу до  Конвенції  (  </w:t>
      </w:r>
      <w:hyperlink r:id="rId67" w:tgtFrame="_blank" w:history="1">
        <w:r w:rsidRPr="00671F9B">
          <w:rPr>
            <w:rFonts w:ascii="Consolas" w:eastAsia="Times New Roman" w:hAnsi="Consolas" w:cs="Consolas"/>
            <w:color w:val="0000FF"/>
            <w:sz w:val="26"/>
            <w:u w:val="single"/>
            <w:lang w:eastAsia="uk-UA"/>
          </w:rPr>
          <w:t>994_535</w:t>
        </w:r>
      </w:hyperlink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)  в  результаті  позбавлення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заявників горища.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179" w:name="o180"/>
      <w:bookmarkEnd w:id="179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4. Постановляє,  що  мало  місце  порушення пункту 1 статті 6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Конвенції ( </w:t>
      </w:r>
      <w:hyperlink r:id="rId68" w:tgtFrame="_blank" w:history="1">
        <w:r w:rsidRPr="00671F9B">
          <w:rPr>
            <w:rFonts w:ascii="Consolas" w:eastAsia="Times New Roman" w:hAnsi="Consolas" w:cs="Consolas"/>
            <w:color w:val="0000FF"/>
            <w:sz w:val="26"/>
            <w:u w:val="single"/>
            <w:lang w:eastAsia="uk-UA"/>
          </w:rPr>
          <w:t>995_004</w:t>
        </w:r>
      </w:hyperlink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).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180" w:name="o181"/>
      <w:bookmarkEnd w:id="180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5. Постановляє,  що  немає  потреби  розглядати   скаргу   за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статтею 13 Конвенції ( </w:t>
      </w:r>
      <w:hyperlink r:id="rId69" w:tgtFrame="_blank" w:history="1">
        <w:r w:rsidRPr="00671F9B">
          <w:rPr>
            <w:rFonts w:ascii="Consolas" w:eastAsia="Times New Roman" w:hAnsi="Consolas" w:cs="Consolas"/>
            <w:color w:val="0000FF"/>
            <w:sz w:val="26"/>
            <w:u w:val="single"/>
            <w:lang w:eastAsia="uk-UA"/>
          </w:rPr>
          <w:t>995_004</w:t>
        </w:r>
      </w:hyperlink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).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181" w:name="o182"/>
      <w:bookmarkEnd w:id="181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   Вчинено англійською  мовою  і  повідомлено письмово 10 лютого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  <w:t xml:space="preserve">2011 року відповідно до пунктів 2 і 3 правила 77  </w:t>
      </w:r>
      <w:proofErr w:type="spellStart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>Реґламенту</w:t>
      </w:r>
      <w:proofErr w:type="spellEnd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 Суду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lastRenderedPageBreak/>
        <w:t xml:space="preserve">( </w:t>
      </w:r>
      <w:hyperlink r:id="rId70" w:tgtFrame="_blank" w:history="1">
        <w:r w:rsidRPr="00671F9B">
          <w:rPr>
            <w:rFonts w:ascii="Consolas" w:eastAsia="Times New Roman" w:hAnsi="Consolas" w:cs="Consolas"/>
            <w:color w:val="0000FF"/>
            <w:sz w:val="26"/>
            <w:u w:val="single"/>
            <w:lang w:eastAsia="uk-UA"/>
          </w:rPr>
          <w:t>980_067</w:t>
        </w:r>
      </w:hyperlink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).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182" w:name="o183"/>
      <w:bookmarkEnd w:id="182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Голова секції                                       </w:t>
      </w:r>
      <w:proofErr w:type="spellStart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>Пеер</w:t>
      </w:r>
      <w:proofErr w:type="spellEnd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ЛОРЕНЦЕН </w:t>
      </w:r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br/>
      </w:r>
    </w:p>
    <w:p w:rsidR="00671F9B" w:rsidRPr="00671F9B" w:rsidRDefault="00671F9B" w:rsidP="00671F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</w:pPr>
      <w:bookmarkStart w:id="183" w:name="o184"/>
      <w:bookmarkEnd w:id="183"/>
      <w:r w:rsidRPr="00671F9B">
        <w:rPr>
          <w:rFonts w:ascii="Consolas" w:eastAsia="Times New Roman" w:hAnsi="Consolas" w:cs="Consolas"/>
          <w:color w:val="292B2C"/>
          <w:sz w:val="26"/>
          <w:szCs w:val="26"/>
          <w:lang w:eastAsia="uk-UA"/>
        </w:rPr>
        <w:t xml:space="preserve"> Секретар секції                                 Клаудія ВЕСТЕРДІК </w:t>
      </w:r>
    </w:p>
    <w:p w:rsidR="00671F9B" w:rsidRPr="00671F9B" w:rsidRDefault="00671F9B" w:rsidP="00671F9B">
      <w:pPr>
        <w:spacing w:after="0" w:line="240" w:lineRule="auto"/>
        <w:rPr>
          <w:rFonts w:ascii="Arial" w:eastAsia="Times New Roman" w:hAnsi="Arial" w:cs="Arial"/>
          <w:color w:val="292B2C"/>
          <w:sz w:val="26"/>
          <w:szCs w:val="26"/>
          <w:lang w:eastAsia="uk-UA"/>
        </w:rPr>
      </w:pPr>
      <w:r w:rsidRPr="00671F9B">
        <w:rPr>
          <w:rFonts w:ascii="Arial" w:eastAsia="Times New Roman" w:hAnsi="Arial" w:cs="Arial"/>
          <w:color w:val="292B2C"/>
          <w:sz w:val="26"/>
          <w:szCs w:val="26"/>
          <w:lang w:eastAsia="uk-UA"/>
        </w:rPr>
        <w:pict>
          <v:rect id="_x0000_i1025" style="width:0;height:0" o:hralign="center" o:hrstd="t" o:hr="t" fillcolor="#a0a0a0" stroked="f"/>
        </w:pict>
      </w:r>
    </w:p>
    <w:p w:rsidR="00671F9B" w:rsidRPr="00671F9B" w:rsidRDefault="00671F9B" w:rsidP="00671F9B">
      <w:pPr>
        <w:spacing w:after="100" w:afterAutospacing="1" w:line="240" w:lineRule="auto"/>
        <w:outlineLvl w:val="1"/>
        <w:rPr>
          <w:rFonts w:ascii="inherit" w:eastAsia="Times New Roman" w:hAnsi="inherit" w:cs="Arial"/>
          <w:color w:val="333333"/>
          <w:sz w:val="36"/>
          <w:szCs w:val="36"/>
          <w:lang w:eastAsia="uk-UA"/>
        </w:rPr>
      </w:pPr>
      <w:r w:rsidRPr="00671F9B">
        <w:rPr>
          <w:rFonts w:ascii="inherit" w:eastAsia="Times New Roman" w:hAnsi="inherit" w:cs="Arial"/>
          <w:color w:val="333333"/>
          <w:sz w:val="36"/>
          <w:szCs w:val="36"/>
          <w:lang w:eastAsia="uk-UA"/>
        </w:rPr>
        <w:t>Публікації документа</w:t>
      </w:r>
    </w:p>
    <w:p w:rsidR="00671F9B" w:rsidRPr="00671F9B" w:rsidRDefault="00671F9B" w:rsidP="00671F9B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292B2C"/>
          <w:sz w:val="26"/>
          <w:szCs w:val="26"/>
          <w:lang w:eastAsia="uk-UA"/>
        </w:rPr>
      </w:pPr>
      <w:r w:rsidRPr="00671F9B">
        <w:rPr>
          <w:rFonts w:ascii="Arial" w:eastAsia="Times New Roman" w:hAnsi="Arial" w:cs="Arial"/>
          <w:b/>
          <w:bCs/>
          <w:color w:val="292B2C"/>
          <w:sz w:val="26"/>
          <w:szCs w:val="26"/>
          <w:lang w:eastAsia="uk-UA"/>
        </w:rPr>
        <w:t>Офіційний вісник України</w:t>
      </w:r>
      <w:r w:rsidRPr="00671F9B">
        <w:rPr>
          <w:rFonts w:ascii="Arial" w:eastAsia="Times New Roman" w:hAnsi="Arial" w:cs="Arial"/>
          <w:color w:val="292B2C"/>
          <w:sz w:val="26"/>
          <w:szCs w:val="26"/>
          <w:lang w:eastAsia="uk-UA"/>
        </w:rPr>
        <w:t> від 10.10.2011 — 2011 р., № 76, стор. 50, стаття 2833</w:t>
      </w:r>
    </w:p>
    <w:p w:rsidR="00DE6E1F" w:rsidRDefault="00671F9B"/>
    <w:sectPr w:rsidR="00DE6E1F" w:rsidSect="009E09AC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F2D1798"/>
    <w:multiLevelType w:val="multilevel"/>
    <w:tmpl w:val="940AEB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671F9B"/>
    <w:rsid w:val="00671F9B"/>
    <w:rsid w:val="009E09AC"/>
    <w:rsid w:val="00D46936"/>
    <w:rsid w:val="00D9669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09AC"/>
  </w:style>
  <w:style w:type="paragraph" w:styleId="2">
    <w:name w:val="heading 2"/>
    <w:basedOn w:val="a"/>
    <w:link w:val="20"/>
    <w:uiPriority w:val="9"/>
    <w:qFormat/>
    <w:rsid w:val="00671F9B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671F9B"/>
    <w:rPr>
      <w:rFonts w:ascii="Times New Roman" w:eastAsia="Times New Roman" w:hAnsi="Times New Roman" w:cs="Times New Roman"/>
      <w:b/>
      <w:bCs/>
      <w:sz w:val="36"/>
      <w:szCs w:val="36"/>
      <w:lang w:eastAsia="uk-UA"/>
    </w:rPr>
  </w:style>
  <w:style w:type="character" w:styleId="a3">
    <w:name w:val="Hyperlink"/>
    <w:basedOn w:val="a0"/>
    <w:uiPriority w:val="99"/>
    <w:semiHidden/>
    <w:unhideWhenUsed/>
    <w:rsid w:val="00671F9B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671F9B"/>
    <w:rPr>
      <w:color w:val="800080"/>
      <w:u w:val="single"/>
    </w:rPr>
  </w:style>
  <w:style w:type="character" w:styleId="HTML">
    <w:name w:val="HTML Keyboard"/>
    <w:basedOn w:val="a0"/>
    <w:uiPriority w:val="99"/>
    <w:semiHidden/>
    <w:unhideWhenUsed/>
    <w:rsid w:val="00671F9B"/>
    <w:rPr>
      <w:rFonts w:ascii="Courier New" w:eastAsia="Times New Roman" w:hAnsi="Courier New" w:cs="Courier New"/>
      <w:sz w:val="20"/>
      <w:szCs w:val="20"/>
    </w:rPr>
  </w:style>
  <w:style w:type="paragraph" w:styleId="a5">
    <w:name w:val="Normal (Web)"/>
    <w:basedOn w:val="a"/>
    <w:uiPriority w:val="99"/>
    <w:semiHidden/>
    <w:unhideWhenUsed/>
    <w:rsid w:val="00671F9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HTML0">
    <w:name w:val="HTML Preformatted"/>
    <w:basedOn w:val="a"/>
    <w:link w:val="HTML1"/>
    <w:uiPriority w:val="99"/>
    <w:semiHidden/>
    <w:unhideWhenUsed/>
    <w:rsid w:val="00671F9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uk-UA"/>
    </w:rPr>
  </w:style>
  <w:style w:type="character" w:customStyle="1" w:styleId="HTML1">
    <w:name w:val="Стандартный HTML Знак"/>
    <w:basedOn w:val="a0"/>
    <w:link w:val="HTML0"/>
    <w:uiPriority w:val="99"/>
    <w:semiHidden/>
    <w:rsid w:val="00671F9B"/>
    <w:rPr>
      <w:rFonts w:ascii="Courier New" w:eastAsia="Times New Roman" w:hAnsi="Courier New" w:cs="Courier New"/>
      <w:sz w:val="20"/>
      <w:szCs w:val="20"/>
      <w:lang w:eastAsia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54125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1345844">
          <w:marLeft w:val="0"/>
          <w:marRight w:val="0"/>
          <w:marTop w:val="0"/>
          <w:marBottom w:val="0"/>
          <w:divBdr>
            <w:top w:val="none" w:sz="0" w:space="4" w:color="auto"/>
            <w:left w:val="single" w:sz="6" w:space="8" w:color="E2E2E2"/>
            <w:bottom w:val="single" w:sz="6" w:space="4" w:color="E2E2E2"/>
            <w:right w:val="single" w:sz="6" w:space="8" w:color="E2E2E2"/>
          </w:divBdr>
        </w:div>
        <w:div w:id="334461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6174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1836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zakon.rada.gov.ua/laws/show/254%D0%BA/96-%D0%B2%D1%80" TargetMode="External"/><Relationship Id="rId18" Type="http://schemas.openxmlformats.org/officeDocument/2006/relationships/hyperlink" Target="http://zakon.rada.gov.ua/laws/show/1540-06" TargetMode="External"/><Relationship Id="rId26" Type="http://schemas.openxmlformats.org/officeDocument/2006/relationships/hyperlink" Target="http://zakon.rada.gov.ua/laws/show/2482-12" TargetMode="External"/><Relationship Id="rId39" Type="http://schemas.openxmlformats.org/officeDocument/2006/relationships/hyperlink" Target="http://zakon.rada.gov.ua/laws/show/994_535" TargetMode="External"/><Relationship Id="rId21" Type="http://schemas.openxmlformats.org/officeDocument/2006/relationships/hyperlink" Target="http://zakon.rada.gov.ua/laws/show/1540-06" TargetMode="External"/><Relationship Id="rId34" Type="http://schemas.openxmlformats.org/officeDocument/2006/relationships/hyperlink" Target="http://zakon.rada.gov.ua/laws/show/994_535" TargetMode="External"/><Relationship Id="rId42" Type="http://schemas.openxmlformats.org/officeDocument/2006/relationships/hyperlink" Target="http://zakon.rada.gov.ua/laws/show/994_535" TargetMode="External"/><Relationship Id="rId47" Type="http://schemas.openxmlformats.org/officeDocument/2006/relationships/hyperlink" Target="http://zakon.rada.gov.ua/laws/show/1540-06" TargetMode="External"/><Relationship Id="rId50" Type="http://schemas.openxmlformats.org/officeDocument/2006/relationships/hyperlink" Target="http://zakon.rada.gov.ua/laws/show/994_535" TargetMode="External"/><Relationship Id="rId55" Type="http://schemas.openxmlformats.org/officeDocument/2006/relationships/hyperlink" Target="http://zakon.rada.gov.ua/laws/show/280/97-%D0%B2%D1%80" TargetMode="External"/><Relationship Id="rId63" Type="http://schemas.openxmlformats.org/officeDocument/2006/relationships/hyperlink" Target="http://zakon.rada.gov.ua/laws/show/995_004" TargetMode="External"/><Relationship Id="rId68" Type="http://schemas.openxmlformats.org/officeDocument/2006/relationships/hyperlink" Target="http://zakon.rada.gov.ua/laws/show/995_004" TargetMode="External"/><Relationship Id="rId7" Type="http://schemas.openxmlformats.org/officeDocument/2006/relationships/hyperlink" Target="http://zakon.rada.gov.ua/laws/show/2482-12" TargetMode="External"/><Relationship Id="rId71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://zakon.rada.gov.ua/laws/show/254%D0%BA/96-%D0%B2%D1%80" TargetMode="External"/><Relationship Id="rId29" Type="http://schemas.openxmlformats.org/officeDocument/2006/relationships/hyperlink" Target="http://zakon.rada.gov.ua/laws/show/2482-12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zakon.rada.gov.ua/laws/show/995_004" TargetMode="External"/><Relationship Id="rId11" Type="http://schemas.openxmlformats.org/officeDocument/2006/relationships/hyperlink" Target="http://zakon.rada.gov.ua/laws/show/1540-06" TargetMode="External"/><Relationship Id="rId24" Type="http://schemas.openxmlformats.org/officeDocument/2006/relationships/hyperlink" Target="http://zakon.rada.gov.ua/laws/show/280/97-%D0%B2%D1%80" TargetMode="External"/><Relationship Id="rId32" Type="http://schemas.openxmlformats.org/officeDocument/2006/relationships/hyperlink" Target="http://zakon.rada.gov.ua/laws/show/1540-06" TargetMode="External"/><Relationship Id="rId37" Type="http://schemas.openxmlformats.org/officeDocument/2006/relationships/hyperlink" Target="http://zakon.rada.gov.ua/laws/show/995_004" TargetMode="External"/><Relationship Id="rId40" Type="http://schemas.openxmlformats.org/officeDocument/2006/relationships/hyperlink" Target="http://zakon.rada.gov.ua/laws/show/1540-06" TargetMode="External"/><Relationship Id="rId45" Type="http://schemas.openxmlformats.org/officeDocument/2006/relationships/hyperlink" Target="http://zakon.rada.gov.ua/laws/show/2482-12" TargetMode="External"/><Relationship Id="rId53" Type="http://schemas.openxmlformats.org/officeDocument/2006/relationships/hyperlink" Target="http://zakon.rada.gov.ua/laws/show/995_004" TargetMode="External"/><Relationship Id="rId58" Type="http://schemas.openxmlformats.org/officeDocument/2006/relationships/hyperlink" Target="http://zakon.rada.gov.ua/laws/show/995_004" TargetMode="External"/><Relationship Id="rId66" Type="http://schemas.openxmlformats.org/officeDocument/2006/relationships/hyperlink" Target="http://zakon.rada.gov.ua/laws/show/994_535" TargetMode="External"/><Relationship Id="rId5" Type="http://schemas.openxmlformats.org/officeDocument/2006/relationships/hyperlink" Target="http://zakon.rada.gov.ua/laws/show/995_004" TargetMode="External"/><Relationship Id="rId15" Type="http://schemas.openxmlformats.org/officeDocument/2006/relationships/hyperlink" Target="http://zakon.rada.gov.ua/laws/show/254%D0%BA/96-%D0%B2%D1%80" TargetMode="External"/><Relationship Id="rId23" Type="http://schemas.openxmlformats.org/officeDocument/2006/relationships/hyperlink" Target="http://zakon.rada.gov.ua/laws/show/280/97-%D0%B2%D1%80" TargetMode="External"/><Relationship Id="rId28" Type="http://schemas.openxmlformats.org/officeDocument/2006/relationships/hyperlink" Target="http://zakon.rada.gov.ua/laws/show/v004p710-04" TargetMode="External"/><Relationship Id="rId36" Type="http://schemas.openxmlformats.org/officeDocument/2006/relationships/hyperlink" Target="http://zakon.rada.gov.ua/laws/show/994_535" TargetMode="External"/><Relationship Id="rId49" Type="http://schemas.openxmlformats.org/officeDocument/2006/relationships/hyperlink" Target="http://zakon.rada.gov.ua/laws/show/280/97-%D0%B2%D1%80" TargetMode="External"/><Relationship Id="rId57" Type="http://schemas.openxmlformats.org/officeDocument/2006/relationships/hyperlink" Target="http://zakon.rada.gov.ua/laws/show/995_004" TargetMode="External"/><Relationship Id="rId61" Type="http://schemas.openxmlformats.org/officeDocument/2006/relationships/hyperlink" Target="http://zakon.rada.gov.ua/laws/show/995_004" TargetMode="External"/><Relationship Id="rId10" Type="http://schemas.openxmlformats.org/officeDocument/2006/relationships/hyperlink" Target="http://zakon.rada.gov.ua/laws/show/1540-06" TargetMode="External"/><Relationship Id="rId19" Type="http://schemas.openxmlformats.org/officeDocument/2006/relationships/hyperlink" Target="http://zakon.rada.gov.ua/laws/show/1540-06" TargetMode="External"/><Relationship Id="rId31" Type="http://schemas.openxmlformats.org/officeDocument/2006/relationships/hyperlink" Target="http://zakon.rada.gov.ua/laws/show/1540-06" TargetMode="External"/><Relationship Id="rId44" Type="http://schemas.openxmlformats.org/officeDocument/2006/relationships/hyperlink" Target="http://zakon.rada.gov.ua/laws/show/280/97-%D0%B2%D1%80" TargetMode="External"/><Relationship Id="rId52" Type="http://schemas.openxmlformats.org/officeDocument/2006/relationships/hyperlink" Target="http://zakon.rada.gov.ua/laws/show/995_004" TargetMode="External"/><Relationship Id="rId60" Type="http://schemas.openxmlformats.org/officeDocument/2006/relationships/hyperlink" Target="http://zakon.rada.gov.ua/laws/show/995_004" TargetMode="External"/><Relationship Id="rId65" Type="http://schemas.openxmlformats.org/officeDocument/2006/relationships/hyperlink" Target="http://zakon.rada.gov.ua/laws/show/995_00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zakon.rada.gov.ua/laws/show/280/97-%D0%B2%D1%80" TargetMode="External"/><Relationship Id="rId14" Type="http://schemas.openxmlformats.org/officeDocument/2006/relationships/hyperlink" Target="http://zakon.rada.gov.ua/laws/show/254%D0%BA/96-%D0%B2%D1%80" TargetMode="External"/><Relationship Id="rId22" Type="http://schemas.openxmlformats.org/officeDocument/2006/relationships/hyperlink" Target="http://zakon.rada.gov.ua/laws/show/280/97-%D0%B2%D1%80" TargetMode="External"/><Relationship Id="rId27" Type="http://schemas.openxmlformats.org/officeDocument/2006/relationships/hyperlink" Target="http://zakon.rada.gov.ua/laws/show/2482-12" TargetMode="External"/><Relationship Id="rId30" Type="http://schemas.openxmlformats.org/officeDocument/2006/relationships/hyperlink" Target="http://zakon.rada.gov.ua/laws/show/2482-12" TargetMode="External"/><Relationship Id="rId35" Type="http://schemas.openxmlformats.org/officeDocument/2006/relationships/hyperlink" Target="http://zakon.rada.gov.ua/laws/show/995_004" TargetMode="External"/><Relationship Id="rId43" Type="http://schemas.openxmlformats.org/officeDocument/2006/relationships/hyperlink" Target="http://zakon.rada.gov.ua/laws/show/994_535" TargetMode="External"/><Relationship Id="rId48" Type="http://schemas.openxmlformats.org/officeDocument/2006/relationships/hyperlink" Target="http://zakon.rada.gov.ua/laws/show/280/97-%D0%B2%D1%80" TargetMode="External"/><Relationship Id="rId56" Type="http://schemas.openxmlformats.org/officeDocument/2006/relationships/hyperlink" Target="http://zakon.rada.gov.ua/laws/show/995_004" TargetMode="External"/><Relationship Id="rId64" Type="http://schemas.openxmlformats.org/officeDocument/2006/relationships/hyperlink" Target="http://zakon.rada.gov.ua/laws/show/995_004" TargetMode="External"/><Relationship Id="rId69" Type="http://schemas.openxmlformats.org/officeDocument/2006/relationships/hyperlink" Target="http://zakon.rada.gov.ua/laws/show/995_004" TargetMode="External"/><Relationship Id="rId8" Type="http://schemas.openxmlformats.org/officeDocument/2006/relationships/hyperlink" Target="http://zakon.rada.gov.ua/laws/show/1540-06" TargetMode="External"/><Relationship Id="rId51" Type="http://schemas.openxmlformats.org/officeDocument/2006/relationships/hyperlink" Target="http://zakon.rada.gov.ua/laws/show/995_004" TargetMode="External"/><Relationship Id="rId72" Type="http://schemas.openxmlformats.org/officeDocument/2006/relationships/theme" Target="theme/theme1.xml"/><Relationship Id="rId3" Type="http://schemas.openxmlformats.org/officeDocument/2006/relationships/settings" Target="settings.xml"/><Relationship Id="rId12" Type="http://schemas.openxmlformats.org/officeDocument/2006/relationships/hyperlink" Target="http://zakon.rada.gov.ua/laws/show/1540-06" TargetMode="External"/><Relationship Id="rId17" Type="http://schemas.openxmlformats.org/officeDocument/2006/relationships/hyperlink" Target="http://zakon.rada.gov.ua/laws/show/254%D0%BA/96-%D0%B2%D1%80" TargetMode="External"/><Relationship Id="rId25" Type="http://schemas.openxmlformats.org/officeDocument/2006/relationships/hyperlink" Target="http://zakon.rada.gov.ua/laws/show/2482-12" TargetMode="External"/><Relationship Id="rId33" Type="http://schemas.openxmlformats.org/officeDocument/2006/relationships/hyperlink" Target="http://zakon.rada.gov.ua/laws/show/994_535" TargetMode="External"/><Relationship Id="rId38" Type="http://schemas.openxmlformats.org/officeDocument/2006/relationships/hyperlink" Target="http://zakon.rada.gov.ua/laws/show/980_043" TargetMode="External"/><Relationship Id="rId46" Type="http://schemas.openxmlformats.org/officeDocument/2006/relationships/hyperlink" Target="http://zakon.rada.gov.ua/laws/show/1540-06" TargetMode="External"/><Relationship Id="rId59" Type="http://schemas.openxmlformats.org/officeDocument/2006/relationships/hyperlink" Target="http://zakon.rada.gov.ua/laws/show/994_535" TargetMode="External"/><Relationship Id="rId67" Type="http://schemas.openxmlformats.org/officeDocument/2006/relationships/hyperlink" Target="http://zakon.rada.gov.ua/laws/show/994_535" TargetMode="External"/><Relationship Id="rId20" Type="http://schemas.openxmlformats.org/officeDocument/2006/relationships/hyperlink" Target="http://zakon.rada.gov.ua/laws/show/1540-06" TargetMode="External"/><Relationship Id="rId41" Type="http://schemas.openxmlformats.org/officeDocument/2006/relationships/hyperlink" Target="http://zakon.rada.gov.ua/laws/show/994_535" TargetMode="External"/><Relationship Id="rId54" Type="http://schemas.openxmlformats.org/officeDocument/2006/relationships/hyperlink" Target="http://zakon.rada.gov.ua/laws/show/1540-06" TargetMode="External"/><Relationship Id="rId62" Type="http://schemas.openxmlformats.org/officeDocument/2006/relationships/hyperlink" Target="http://zakon.rada.gov.ua/laws/show/995_004" TargetMode="External"/><Relationship Id="rId70" Type="http://schemas.openxmlformats.org/officeDocument/2006/relationships/hyperlink" Target="http://zakon.rada.gov.ua/laws/show/980_06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19</Pages>
  <Words>32065</Words>
  <Characters>18278</Characters>
  <Application>Microsoft Office Word</Application>
  <DocSecurity>0</DocSecurity>
  <Lines>152</Lines>
  <Paragraphs>100</Paragraphs>
  <ScaleCrop>false</ScaleCrop>
  <Company>SPecialiST RePack</Company>
  <LinksUpToDate>false</LinksUpToDate>
  <CharactersWithSpaces>50243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</cp:revision>
  <dcterms:created xsi:type="dcterms:W3CDTF">2019-01-03T10:05:00Z</dcterms:created>
  <dcterms:modified xsi:type="dcterms:W3CDTF">2019-01-03T10:05:00Z</dcterms:modified>
</cp:coreProperties>
</file>