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7"/>
          <w:szCs w:val="27"/>
        </w:rPr>
      </w:pPr>
      <w:r>
        <w:rPr>
          <w:rFonts w:ascii="Times New Roman CYR" w:hAnsi="Times New Roman CYR" w:cs="Times New Roman CYR"/>
          <w:b/>
          <w:bCs/>
          <w:sz w:val="27"/>
          <w:szCs w:val="27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sz w:val="36"/>
          <w:szCs w:val="36"/>
        </w:rPr>
        <w:t xml:space="preserve">П О С Т А </w:t>
      </w:r>
      <w:r>
        <w:rPr>
          <w:rFonts w:ascii="Times New Roman CYR" w:hAnsi="Times New Roman CYR" w:cs="Times New Roman CYR"/>
          <w:b/>
          <w:bCs/>
          <w:sz w:val="36"/>
          <w:szCs w:val="36"/>
        </w:rPr>
        <w:t xml:space="preserve">Н О В А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sz w:val="36"/>
          <w:szCs w:val="36"/>
        </w:rPr>
        <w:t>І М Е Н Е М    У К Р А Ї Н И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6"/>
          <w:szCs w:val="36"/>
        </w:rPr>
      </w:pPr>
    </w:p>
    <w:tbl>
      <w:tblPr>
        <w:tblW w:w="0" w:type="auto"/>
        <w:tblLayout w:type="fixed"/>
        <w:tblLook w:val="0000"/>
      </w:tblPr>
      <w:tblGrid>
        <w:gridCol w:w="4786"/>
        <w:gridCol w:w="1404"/>
        <w:gridCol w:w="3095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16 грудня 2015 року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                          м. Київ</w:t>
            </w:r>
          </w:p>
        </w:tc>
      </w:tr>
    </w:tbl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Судова палата у цивільних справах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Верховного Суду України в складі: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1851"/>
        <w:gridCol w:w="2577"/>
        <w:gridCol w:w="2340"/>
        <w:gridCol w:w="2554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1851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головуючого</w:t>
            </w: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суддів:</w:t>
            </w: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Охрімчук Л.І.,</w:t>
            </w: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Гуменюка В.І.,</w:t>
            </w: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Лященко Н.П.,  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Сімоненко В.М.,</w:t>
            </w: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Яреми 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А.Г.,</w:t>
            </w:r>
          </w:p>
        </w:tc>
        <w:tc>
          <w:tcPr>
            <w:tcW w:w="255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00000" w:rsidRDefault="007F2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</w:tr>
    </w:tbl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9"/>
          <w:szCs w:val="29"/>
          <w:lang w:val="ru-RU"/>
        </w:rPr>
      </w:pPr>
      <w:r>
        <w:rPr>
          <w:rFonts w:ascii="Times New Roman CYR" w:hAnsi="Times New Roman CYR" w:cs="Times New Roman CYR"/>
          <w:b/>
          <w:bCs/>
          <w:sz w:val="29"/>
          <w:szCs w:val="29"/>
          <w:lang w:val="ru-RU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розглянувши в судовому засіданні справу за позовом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ОСОБА_1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до </w:t>
      </w:r>
      <w:r>
        <w:rPr>
          <w:rFonts w:ascii="Times New Roman CYR" w:hAnsi="Times New Roman CYR" w:cs="Times New Roman CYR"/>
          <w:sz w:val="29"/>
          <w:szCs w:val="29"/>
        </w:rPr>
        <w:t>ОСОБА_2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, Центрального відділу державної виконавчої служби Черкаського міського управління юстиції про визнання права власності на автомобіль</w:t>
      </w:r>
      <w:r>
        <w:rPr>
          <w:rFonts w:ascii="Times New Roman CYR" w:hAnsi="Times New Roman CYR" w:cs="Times New Roman CYR"/>
          <w:sz w:val="29"/>
          <w:szCs w:val="29"/>
        </w:rPr>
        <w:t xml:space="preserve"> за заявою ОСОБА_1 про перегляд Верховним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Судом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України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ухвали Вищого спеціалізованого суду України з розгляду цивільних і кримінальних справ від  20 лютого 2015 року, ухвали Апеляційного суду Черкаської області від 28 січня 2015 року та рішення Придніпровського районного суду м. Черкаси від 1 гру</w:t>
      </w:r>
      <w:r>
        <w:rPr>
          <w:rFonts w:ascii="Times New Roman CYR" w:hAnsi="Times New Roman CYR" w:cs="Times New Roman CYR"/>
          <w:sz w:val="29"/>
          <w:szCs w:val="29"/>
        </w:rPr>
        <w:t xml:space="preserve">дня 2014 року,  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>в с т а н о в и л а :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hAnsi="Times New Roman CYR" w:cs="Times New Roman CYR"/>
          <w:b/>
          <w:bCs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 вересні 2014 року ОСОБА_1 звернувся до суду з позовом до ОСОБА_2, Центрального відділу державної виконавчої служби Черкаського міського управління юстиції (далі – Центральний відділ ДВС Черкаського МУЮ) про визн</w:t>
      </w:r>
      <w:r>
        <w:rPr>
          <w:rFonts w:ascii="Times New Roman CYR" w:hAnsi="Times New Roman CYR" w:cs="Times New Roman CYR"/>
          <w:sz w:val="29"/>
          <w:szCs w:val="29"/>
        </w:rPr>
        <w:t xml:space="preserve">ання права власності на автомобіль. 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ОСОБА_1 зазначав, що 18 вересня 2010 року між ним та ОСОБА_2 було укладено договір купівлі-продажу автомобіля ГАЗ 33021,  2005 року випуску, який за згодою сторін оформлено у вигляді довіреності.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На підтвердження </w:t>
      </w:r>
      <w:r>
        <w:rPr>
          <w:rFonts w:ascii="Times New Roman CYR" w:hAnsi="Times New Roman CYR" w:cs="Times New Roman CYR"/>
          <w:sz w:val="29"/>
          <w:szCs w:val="29"/>
        </w:rPr>
        <w:t>цьо</w:t>
      </w:r>
      <w:r>
        <w:rPr>
          <w:rFonts w:ascii="Times New Roman CYR" w:hAnsi="Times New Roman CYR" w:cs="Times New Roman CYR"/>
          <w:sz w:val="29"/>
          <w:szCs w:val="29"/>
        </w:rPr>
        <w:t>го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договору купівлі-продажу </w:t>
      </w:r>
      <w:r>
        <w:rPr>
          <w:rFonts w:ascii="Times New Roman CYR" w:hAnsi="Times New Roman CYR" w:cs="Times New Roman CYR"/>
          <w:sz w:val="29"/>
          <w:szCs w:val="29"/>
        </w:rPr>
        <w:t xml:space="preserve">ОСОБА_2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нада</w:t>
      </w:r>
      <w:r>
        <w:rPr>
          <w:rFonts w:ascii="Times New Roman CYR" w:hAnsi="Times New Roman CYR" w:cs="Times New Roman CYR"/>
          <w:sz w:val="29"/>
          <w:szCs w:val="29"/>
        </w:rPr>
        <w:t xml:space="preserve">в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розписк</w:t>
      </w:r>
      <w:r>
        <w:rPr>
          <w:rFonts w:ascii="Times New Roman CYR" w:hAnsi="Times New Roman CYR" w:cs="Times New Roman CYR"/>
          <w:sz w:val="29"/>
          <w:szCs w:val="29"/>
        </w:rPr>
        <w:t>у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, згідно </w:t>
      </w:r>
      <w:r>
        <w:rPr>
          <w:rFonts w:ascii="Times New Roman CYR" w:hAnsi="Times New Roman CYR" w:cs="Times New Roman CYR"/>
          <w:sz w:val="29"/>
          <w:szCs w:val="29"/>
        </w:rPr>
        <w:t xml:space="preserve">з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яко</w:t>
      </w:r>
      <w:r>
        <w:rPr>
          <w:rFonts w:ascii="Times New Roman CYR" w:hAnsi="Times New Roman CYR" w:cs="Times New Roman CYR"/>
          <w:sz w:val="29"/>
          <w:szCs w:val="29"/>
        </w:rPr>
        <w:t>ю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останній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продав йому автомобіль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18 вересня 2014 року за 46 </w:t>
      </w:r>
      <w:r>
        <w:rPr>
          <w:rFonts w:ascii="Times New Roman CYR" w:hAnsi="Times New Roman CYR" w:cs="Times New Roman CYR"/>
          <w:sz w:val="29"/>
          <w:szCs w:val="29"/>
        </w:rPr>
        <w:t xml:space="preserve">тис.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грн. Надана довіреність від 18 вересня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2010 року посвідчена приватним нотаріусом Черкаського нотаріального округу, відповідно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до якої </w:t>
      </w:r>
      <w:r>
        <w:rPr>
          <w:rFonts w:ascii="Times New Roman CYR" w:hAnsi="Times New Roman CYR" w:cs="Times New Roman CYR"/>
          <w:sz w:val="29"/>
          <w:szCs w:val="29"/>
        </w:rPr>
        <w:t>позивач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має право, крім іншого, знімати з обліку та відчужувати </w:t>
      </w:r>
      <w:r>
        <w:rPr>
          <w:rFonts w:ascii="Times New Roman CYR" w:hAnsi="Times New Roman CYR" w:cs="Times New Roman CYR"/>
          <w:sz w:val="29"/>
          <w:szCs w:val="29"/>
        </w:rPr>
        <w:t xml:space="preserve">цей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автомобіль.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19 травня 2013 року працівником Державтоінспекції у м. Ахтирці Сумської області було складено протокол огляду та тимчасового затримання транспортного засобу – спірног</w:t>
      </w:r>
      <w:r>
        <w:rPr>
          <w:rFonts w:ascii="Times New Roman CYR" w:hAnsi="Times New Roman CYR" w:cs="Times New Roman CYR"/>
          <w:sz w:val="29"/>
          <w:szCs w:val="29"/>
        </w:rPr>
        <w:t xml:space="preserve">о автомобіля, який було вилучено у позивача у </w:t>
      </w:r>
      <w:r>
        <w:rPr>
          <w:rFonts w:ascii="Times New Roman CYR" w:hAnsi="Times New Roman CYR" w:cs="Times New Roman CYR"/>
          <w:sz w:val="29"/>
          <w:szCs w:val="29"/>
        </w:rPr>
        <w:lastRenderedPageBreak/>
        <w:t>зв’язку із тим, що на цей автомобіль накладено арешт.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Посилаючись на те, що видачею довіреності було приховано інший правочин, який дійсно мав місце – угоду купівлі-продажу автомобіля, ОСОБА_1 просив визнати </w:t>
      </w:r>
      <w:r>
        <w:rPr>
          <w:rFonts w:ascii="Times New Roman CYR" w:hAnsi="Times New Roman CYR" w:cs="Times New Roman CYR"/>
          <w:sz w:val="29"/>
          <w:szCs w:val="29"/>
        </w:rPr>
        <w:t>зазначену довіреність удаваним правочином, визнати, що між ним та ОСОБА_2 18 вересня 2010 року укладено договір купівлі-продажу автомобіля, визнати за собою право власності на цей автомобіль і виключити останній з опису та звільнити з-під арешту.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Рішенням</w:t>
      </w:r>
      <w:r>
        <w:rPr>
          <w:rFonts w:ascii="Times New Roman CYR" w:hAnsi="Times New Roman CYR" w:cs="Times New Roman CYR"/>
          <w:sz w:val="29"/>
          <w:szCs w:val="29"/>
        </w:rPr>
        <w:t xml:space="preserve"> Придніпровського районного суду м. Черкаси від 1 грудня   2014 року, залишеним без змін ухвалою Апеляційного суду Черкаської області від 28 січня 2015 року, у задоволенні позовних вимог ОСОБА_1 відмовлено.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Ухвалою Вищого спеціалізованого суду України з</w:t>
      </w:r>
      <w:r>
        <w:rPr>
          <w:rFonts w:ascii="Times New Roman CYR" w:hAnsi="Times New Roman CYR" w:cs="Times New Roman CYR"/>
          <w:sz w:val="29"/>
          <w:szCs w:val="29"/>
        </w:rPr>
        <w:t xml:space="preserve"> розгляду цивільних і кримінальних справ від 20 лютого 2015 року відмовлено ОСОБА_1 у відкритті касаційного провадження у справі за вказаним позовом з підстави, передбаченої пунктом 5 частини четвертої статті 328 Цивільного процесуального кодексу України (</w:t>
      </w:r>
      <w:r>
        <w:rPr>
          <w:rFonts w:ascii="Times New Roman CYR" w:hAnsi="Times New Roman CYR" w:cs="Times New Roman CYR"/>
          <w:sz w:val="29"/>
          <w:szCs w:val="29"/>
        </w:rPr>
        <w:t xml:space="preserve">далі – ЦПК України).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 заяві про перегляд ухвали Вищого спеціалізованого суду України з розгляду цивільних і кримінальних справ від 20 лютого 2015 року, ухвали Апеляційного суду Черкаської області від 28 січня 2015 року та рішення Придніпровського район</w:t>
      </w:r>
      <w:r>
        <w:rPr>
          <w:rFonts w:ascii="Times New Roman CYR" w:hAnsi="Times New Roman CYR" w:cs="Times New Roman CYR"/>
          <w:sz w:val="29"/>
          <w:szCs w:val="29"/>
        </w:rPr>
        <w:t>ного суду м. Черкаси від 1 грудня 2014 року  ОСОБА_1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просить скасувати зазначені судові рішення та ухвалити нове рішення про задоволення його позовних вимог з передбаченої пунктом 1 частини першої статті 355 ЦПК України підстави неоднакового застосування с</w:t>
      </w:r>
      <w:r>
        <w:rPr>
          <w:rFonts w:ascii="Times New Roman CYR" w:hAnsi="Times New Roman CYR" w:cs="Times New Roman CYR"/>
          <w:sz w:val="29"/>
          <w:szCs w:val="29"/>
        </w:rPr>
        <w:t>удом касаційної інстанції статей 202, 203, 235, 244, 245, 328, 626, 638, 655 Цивільного кодексу України (далі – ЦК України), що спричинило ухвалення різних за змістом судових рішень у подібних правовідносинах.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На обґрунтування заяви ОСОБА_1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надав копію у</w:t>
      </w:r>
      <w:r>
        <w:rPr>
          <w:rFonts w:ascii="Times New Roman CYR" w:hAnsi="Times New Roman CYR" w:cs="Times New Roman CYR"/>
          <w:sz w:val="29"/>
          <w:szCs w:val="29"/>
        </w:rPr>
        <w:t>хвали Вищого спеціалізованого суду України з розгляду цивільних і кримінальних справ від 15 червня 2012 року.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Заслухавши суддю-доповідача, перевіривши наведені в заяві ОСОБА_1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</w:t>
      </w:r>
      <w:r>
        <w:rPr>
          <w:rFonts w:ascii="Times New Roman CYR" w:hAnsi="Times New Roman CYR" w:cs="Times New Roman CYR"/>
          <w:sz w:val="29"/>
          <w:szCs w:val="29"/>
        </w:rPr>
        <w:t>доводи, Судова палата у цивільних справах Верховного Суду України дійшла висно</w:t>
      </w:r>
      <w:r>
        <w:rPr>
          <w:rFonts w:ascii="Times New Roman CYR" w:hAnsi="Times New Roman CYR" w:cs="Times New Roman CYR"/>
          <w:sz w:val="29"/>
          <w:szCs w:val="29"/>
        </w:rPr>
        <w:t>вку про те, що заява не підлягає задоволенню з огляду на таке.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ab/>
        <w:t>За положенням пункту 1 частини першої статті 355 ЦПК України підставою для подання заяви про перегляд судових рішень у цивільних справах є неоднакове застосування судом (судами) касаційної і</w:t>
      </w:r>
      <w:r>
        <w:rPr>
          <w:rFonts w:ascii="Times New Roman CYR" w:hAnsi="Times New Roman CYR" w:cs="Times New Roman CYR"/>
          <w:sz w:val="29"/>
          <w:szCs w:val="29"/>
        </w:rPr>
        <w:t xml:space="preserve">нстанції одних і тих самих норм матеріального права, що спричинило ухвалення різних за змістом </w:t>
      </w:r>
      <w:r>
        <w:rPr>
          <w:rFonts w:ascii="Times New Roman CYR" w:hAnsi="Times New Roman CYR" w:cs="Times New Roman CYR"/>
          <w:sz w:val="29"/>
          <w:szCs w:val="29"/>
        </w:rPr>
        <w:lastRenderedPageBreak/>
        <w:t xml:space="preserve">судових рішень у подібних правовідносинах.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Згідно із частиною першою статті 360</w:t>
      </w:r>
      <w:r>
        <w:rPr>
          <w:rFonts w:ascii="Times New Roman CYR" w:hAnsi="Times New Roman CYR" w:cs="Times New Roman CYR"/>
          <w:sz w:val="29"/>
          <w:szCs w:val="29"/>
          <w:vertAlign w:val="superscript"/>
        </w:rPr>
        <w:t>5</w:t>
      </w:r>
      <w:r>
        <w:rPr>
          <w:rFonts w:ascii="Times New Roman CYR" w:hAnsi="Times New Roman CYR" w:cs="Times New Roman CYR"/>
          <w:sz w:val="29"/>
          <w:szCs w:val="29"/>
        </w:rPr>
        <w:t xml:space="preserve"> ЦПК України Верховний Суд України відмовляє у задоволенні заяви, якщо обстави</w:t>
      </w:r>
      <w:r>
        <w:rPr>
          <w:rFonts w:ascii="Times New Roman CYR" w:hAnsi="Times New Roman CYR" w:cs="Times New Roman CYR"/>
          <w:sz w:val="29"/>
          <w:szCs w:val="29"/>
        </w:rPr>
        <w:t>ни, які стали підставою для перегляду справи, не підтвердилися, або норми права у рішенні, про перегляд якого подана заява, були застосовані правильно.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 справі, яка переглядається, суди встановили, що 18 вересня 2010 року ОСОБА_2 видав ОСОБА_1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та ОСОБА_</w:t>
      </w:r>
      <w:r>
        <w:rPr>
          <w:rFonts w:ascii="Times New Roman CYR" w:hAnsi="Times New Roman CYR" w:cs="Times New Roman CYR"/>
          <w:sz w:val="29"/>
          <w:szCs w:val="29"/>
        </w:rPr>
        <w:t>3 нотаріально посвідчену довіреність на право керування та розпорядження належним йому автомобілем ГАЗ 33021, 2005 року випуску, строком на десять років з правом передоручення, та письмову розписку про отримання від ОСОБА_1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  46 тис. грн.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Згідно </w:t>
      </w:r>
      <w:r>
        <w:rPr>
          <w:rFonts w:ascii="Times New Roman CYR" w:hAnsi="Times New Roman CYR" w:cs="Times New Roman CYR"/>
          <w:sz w:val="29"/>
          <w:szCs w:val="29"/>
        </w:rPr>
        <w:t>зі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свідоцт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в</w:t>
      </w:r>
      <w:r>
        <w:rPr>
          <w:rFonts w:ascii="Times New Roman CYR" w:hAnsi="Times New Roman CYR" w:cs="Times New Roman CYR"/>
          <w:sz w:val="29"/>
          <w:szCs w:val="29"/>
        </w:rPr>
        <w:t>ом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про реєстрацію </w:t>
      </w:r>
      <w:r>
        <w:rPr>
          <w:rFonts w:ascii="Times New Roman CYR" w:hAnsi="Times New Roman CYR" w:cs="Times New Roman CYR"/>
          <w:sz w:val="29"/>
          <w:szCs w:val="29"/>
        </w:rPr>
        <w:t xml:space="preserve">вказаного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транспортного засобу від 19</w:t>
      </w:r>
      <w:r>
        <w:rPr>
          <w:rFonts w:ascii="Times New Roman CYR" w:hAnsi="Times New Roman CYR" w:cs="Times New Roman CYR"/>
          <w:sz w:val="29"/>
          <w:szCs w:val="29"/>
        </w:rPr>
        <w:t xml:space="preserve"> травня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2005 року </w:t>
      </w:r>
      <w:r>
        <w:rPr>
          <w:rFonts w:ascii="Times New Roman CYR" w:hAnsi="Times New Roman CYR" w:cs="Times New Roman CYR"/>
          <w:sz w:val="29"/>
          <w:szCs w:val="29"/>
        </w:rPr>
        <w:t xml:space="preserve">ОСОБА_2 є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власником </w:t>
      </w:r>
      <w:r>
        <w:rPr>
          <w:rFonts w:ascii="Times New Roman CYR" w:hAnsi="Times New Roman CYR" w:cs="Times New Roman CYR"/>
          <w:sz w:val="29"/>
          <w:szCs w:val="29"/>
        </w:rPr>
        <w:t xml:space="preserve">зазначеного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автомобіля.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За даними </w:t>
      </w:r>
      <w:r>
        <w:rPr>
          <w:rFonts w:ascii="Times New Roman CYR" w:hAnsi="Times New Roman CYR" w:cs="Times New Roman CYR"/>
          <w:sz w:val="29"/>
          <w:szCs w:val="29"/>
        </w:rPr>
        <w:t>Державтоінспекції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вказаний транспортний засіб перебуває на обліку і його власником </w:t>
      </w:r>
      <w:r>
        <w:rPr>
          <w:rFonts w:ascii="Times New Roman CYR" w:hAnsi="Times New Roman CYR" w:cs="Times New Roman CYR"/>
          <w:sz w:val="29"/>
          <w:szCs w:val="29"/>
        </w:rPr>
        <w:t xml:space="preserve">є ОСОБА_2.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Ц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ентральному відділі </w:t>
      </w:r>
      <w:r>
        <w:rPr>
          <w:rFonts w:ascii="Times New Roman CYR" w:hAnsi="Times New Roman CYR" w:cs="Times New Roman CYR"/>
          <w:sz w:val="29"/>
          <w:szCs w:val="29"/>
        </w:rPr>
        <w:t>ДВС Черк</w:t>
      </w:r>
      <w:r>
        <w:rPr>
          <w:rFonts w:ascii="Times New Roman CYR" w:hAnsi="Times New Roman CYR" w:cs="Times New Roman CYR"/>
          <w:sz w:val="29"/>
          <w:szCs w:val="29"/>
        </w:rPr>
        <w:t>аського МУЮ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перебуває виконавче провадження про стягнення заборгованості з </w:t>
      </w:r>
      <w:r>
        <w:rPr>
          <w:rFonts w:ascii="Times New Roman CYR" w:hAnsi="Times New Roman CYR" w:cs="Times New Roman CYR"/>
          <w:sz w:val="29"/>
          <w:szCs w:val="29"/>
        </w:rPr>
        <w:t xml:space="preserve">ОСОБА_2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та накладено арешт на спірний автомобіль.</w:t>
      </w:r>
      <w:r>
        <w:rPr>
          <w:rFonts w:ascii="Times New Roman CYR" w:hAnsi="Times New Roman CYR" w:cs="Times New Roman CYR"/>
          <w:sz w:val="29"/>
          <w:szCs w:val="29"/>
        </w:rPr>
        <w:t xml:space="preserve">   </w:t>
      </w: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Ухвалюючи рішення про відмову в задоволенні позовних вимог ОСОБА_1, суд першої інстанції, з висновками якого погодилися суди ап</w:t>
      </w:r>
      <w:r>
        <w:rPr>
          <w:rFonts w:ascii="Times New Roman CYR" w:hAnsi="Times New Roman CYR" w:cs="Times New Roman CYR"/>
          <w:sz w:val="29"/>
          <w:szCs w:val="29"/>
        </w:rPr>
        <w:t>еляційної та касаційної інстанцій, виходив з того, що позивач не набув права власності на спірний автомобіль, оскільки договір купівлі-продажу цього транспортного засобу не укладався, а видача довіреності на право володіння, користування та розпорядження а</w:t>
      </w:r>
      <w:r>
        <w:rPr>
          <w:rFonts w:ascii="Times New Roman CYR" w:hAnsi="Times New Roman CYR" w:cs="Times New Roman CYR"/>
          <w:sz w:val="29"/>
          <w:szCs w:val="29"/>
        </w:rPr>
        <w:t>втомобілем не свідчить про укладення договору купівлі-продажу.</w:t>
      </w: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Разом з тим в ухвалі Вищого спеціалізованого суду України з розгляду цивільних і кримінальних справ від 15 червня 2012 року, наданій заявником для порівняння, касаційний суд погодився з виснов</w:t>
      </w:r>
      <w:r>
        <w:rPr>
          <w:rFonts w:ascii="Times New Roman CYR" w:hAnsi="Times New Roman CYR" w:cs="Times New Roman CYR"/>
          <w:sz w:val="29"/>
          <w:szCs w:val="29"/>
        </w:rPr>
        <w:t xml:space="preserve">ком судів попередніх інстанцій про те, що довіреність на право розпорядження транспортним засобом, видана відповідачем позивачу, є удаваним правочином відповідно до статті 235 ЦК України та фактично вважається укладеним сторонами договором купівлі-продажу </w:t>
      </w:r>
      <w:r>
        <w:rPr>
          <w:rFonts w:ascii="Times New Roman CYR" w:hAnsi="Times New Roman CYR" w:cs="Times New Roman CYR"/>
          <w:sz w:val="29"/>
          <w:szCs w:val="29"/>
        </w:rPr>
        <w:t xml:space="preserve">автомобіля, тому наявні правові підстави для визнання права власності на спірний автомобіль за позивачем у порядку статті 392 вказаного Кодексу. </w:t>
      </w: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Отже, існує неоднакове застосування судом касаційної інстанції статей 235, 244, 392 ЦК України, що спричинило</w:t>
      </w:r>
      <w:r>
        <w:rPr>
          <w:rFonts w:ascii="Times New Roman CYR" w:hAnsi="Times New Roman CYR" w:cs="Times New Roman CYR"/>
          <w:sz w:val="29"/>
          <w:szCs w:val="29"/>
        </w:rPr>
        <w:t xml:space="preserve"> ухвалення різних за змістом судових рішень у подібних правовідносинах.</w:t>
      </w: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color w:val="000000"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  <w:lang w:val="ru-RU"/>
        </w:rPr>
      </w:pPr>
      <w:r>
        <w:rPr>
          <w:rFonts w:ascii="Times New Roman CYR" w:hAnsi="Times New Roman CYR" w:cs="Times New Roman CYR"/>
          <w:sz w:val="29"/>
          <w:szCs w:val="29"/>
          <w:lang w:val="ru-RU"/>
        </w:rPr>
        <w:lastRenderedPageBreak/>
        <w:t xml:space="preserve">Вирішуючи питання про усунення розбіжностей у застосуванні </w:t>
      </w:r>
      <w:r>
        <w:rPr>
          <w:rFonts w:ascii="Times New Roman CYR" w:hAnsi="Times New Roman CYR" w:cs="Times New Roman CYR"/>
          <w:sz w:val="29"/>
          <w:szCs w:val="29"/>
        </w:rPr>
        <w:t>суд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ом</w:t>
      </w:r>
      <w:r>
        <w:rPr>
          <w:rFonts w:ascii="Times New Roman CYR" w:hAnsi="Times New Roman CYR" w:cs="Times New Roman CYR"/>
          <w:sz w:val="29"/>
          <w:szCs w:val="29"/>
        </w:rPr>
        <w:t xml:space="preserve"> касаційної інстанції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вказан</w:t>
      </w:r>
      <w:r>
        <w:rPr>
          <w:rFonts w:ascii="Times New Roman CYR" w:hAnsi="Times New Roman CYR" w:cs="Times New Roman CYR"/>
          <w:sz w:val="29"/>
          <w:szCs w:val="29"/>
        </w:rPr>
        <w:t>их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норм матеріального права, Судова палата у цивільних справах Верховного Суду України ви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ходить з такого.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Загальний порядок укладення договорів будь-якими учасниками цивільних відносин визначено у главі 53 ЦК України.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До принципово важливих складових цієї процедури відносяться зміст та форма договору, спосіб, місце укладення.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Правове регулю</w:t>
      </w:r>
      <w:r>
        <w:rPr>
          <w:rFonts w:ascii="Times New Roman CYR" w:hAnsi="Times New Roman CYR" w:cs="Times New Roman CYR"/>
          <w:sz w:val="29"/>
          <w:szCs w:val="29"/>
        </w:rPr>
        <w:t>вання відносин, пов’язаних з купівлею-продажем транспортних засобів, здійснюється на підставі положень ЦК України з урахуванням загальних положень про договір та спеціальних правил, закріплених у відповідних положеннях Порядку здійснення оптової та роздріб</w:t>
      </w:r>
      <w:r>
        <w:rPr>
          <w:rFonts w:ascii="Times New Roman CYR" w:hAnsi="Times New Roman CYR" w:cs="Times New Roman CYR"/>
          <w:sz w:val="29"/>
          <w:szCs w:val="29"/>
        </w:rPr>
        <w:t>ної торгівлі транспортними засобами та їх складовими частинами, що мають ідентифікаційні номери, затвердженого постановою Кабінету Міністрів України від 11 листопада 2009 року № 1200 та Порядку державної реєстрації (перереєстрації), зняття з обліку автомоб</w:t>
      </w:r>
      <w:r>
        <w:rPr>
          <w:rFonts w:ascii="Times New Roman CYR" w:hAnsi="Times New Roman CYR" w:cs="Times New Roman CYR"/>
          <w:sz w:val="29"/>
          <w:szCs w:val="29"/>
        </w:rPr>
        <w:t>ілів, автобусів, а також самохідних машин, сконструйованих на шасі автомобілів, мотоциклів усіх типів, марок і моделей, причепів, напівпричепів, мотоколясок, інших прирівняних до них транспортних засобів та мопедів, затвердженого постановою Кабінету Мініст</w:t>
      </w:r>
      <w:r>
        <w:rPr>
          <w:rFonts w:ascii="Times New Roman CYR" w:hAnsi="Times New Roman CYR" w:cs="Times New Roman CYR"/>
          <w:sz w:val="29"/>
          <w:szCs w:val="29"/>
        </w:rPr>
        <w:t xml:space="preserve">рів України від 7 вересня 1998 року № 1388, які визначають певні особливості укладення, виконання та правові наслідки невиконання відповідних договорів.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Згідно з Порядком здійснення оптової та роздрібної торгівлі транспортними засобами та їх складовими</w:t>
      </w:r>
      <w:r>
        <w:rPr>
          <w:rFonts w:ascii="Times New Roman CYR" w:hAnsi="Times New Roman CYR" w:cs="Times New Roman CYR"/>
          <w:sz w:val="29"/>
          <w:szCs w:val="29"/>
        </w:rPr>
        <w:t xml:space="preserve"> частинами, що мають ідентифікаційні номери, затвердженим постановою Кабінету Міністрів України від 11 листопада 2009 року № 1200, оформлення на товарних біржах договорів купівлі-продажу транспортних засобів та їх складових частин, що мають ідентифікаційні</w:t>
      </w:r>
      <w:r>
        <w:rPr>
          <w:rFonts w:ascii="Times New Roman CYR" w:hAnsi="Times New Roman CYR" w:cs="Times New Roman CYR"/>
          <w:sz w:val="29"/>
          <w:szCs w:val="29"/>
        </w:rPr>
        <w:t xml:space="preserve"> номери, здійснюється з використанням облікованих відповідно у територіальному органі з надання сервісних послуг МВС і Держсільгоспінспекції бланків біржових угод.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  <w:lang w:val="ru-RU"/>
        </w:rPr>
        <w:t>Оформлення договорів купівлі-продажу транспортних засобів може проводитися в територіальном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у органі з надання сервісних послуг МВС.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У разі продажу транспортних засобів та їх складових частин, що мають ідентифікаційні номери, філією суб’єкта господарювання або уповноваженим дилером, крім акта приймання-передачі підприємства-виробника, покупцеві </w:t>
      </w:r>
      <w:r>
        <w:rPr>
          <w:rFonts w:ascii="Times New Roman CYR" w:hAnsi="Times New Roman CYR" w:cs="Times New Roman CYR"/>
          <w:sz w:val="29"/>
          <w:szCs w:val="29"/>
        </w:rPr>
        <w:t xml:space="preserve">видається акт приймання-передачі, що укладається між суб’єктом господарювання (його філією) та уповноваженим дилером.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Під час продажу транспортних засобів, що перебувають (перебували) на обліку в уповноваженому органі МВС або Держсільгоспінспекції, покупц</w:t>
      </w:r>
      <w:r>
        <w:rPr>
          <w:rFonts w:ascii="Times New Roman CYR" w:hAnsi="Times New Roman CYR" w:cs="Times New Roman CYR"/>
          <w:sz w:val="29"/>
          <w:szCs w:val="29"/>
        </w:rPr>
        <w:t xml:space="preserve">еві </w:t>
      </w:r>
      <w:r>
        <w:rPr>
          <w:rFonts w:ascii="Times New Roman CYR" w:hAnsi="Times New Roman CYR" w:cs="Times New Roman CYR"/>
          <w:sz w:val="29"/>
          <w:szCs w:val="29"/>
        </w:rPr>
        <w:lastRenderedPageBreak/>
        <w:t>територіальним органом з надання сервісних послуг МВС видається свідоцтво про реєстрацію транспортного засобу (технічний паспорт) або Держсільгоспінспекцією - свідоцтво про реєстрацію машини з відміткою про зняття машин (тракторів, самохідних шасі, сам</w:t>
      </w:r>
      <w:r>
        <w:rPr>
          <w:rFonts w:ascii="Times New Roman CYR" w:hAnsi="Times New Roman CYR" w:cs="Times New Roman CYR"/>
          <w:sz w:val="29"/>
          <w:szCs w:val="29"/>
        </w:rPr>
        <w:t xml:space="preserve">охідних сільськогосподарських, дорожньо-будівельних і меліоративних машин, сільськогосподарської техніки, інших механізмів) з обліку чи акт технічного стану.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У разі зняття з обліку транспортного засобу покупцеві видається свідоцтво про реєстрацію транспор</w:t>
      </w:r>
      <w:r>
        <w:rPr>
          <w:rFonts w:ascii="Times New Roman CYR" w:hAnsi="Times New Roman CYR" w:cs="Times New Roman CYR"/>
          <w:sz w:val="29"/>
          <w:szCs w:val="29"/>
        </w:rPr>
        <w:t>тного засобу (технічний паспорт) та копія реєстраційної картки, що додається до свідоцтва про реєстрацію транспортного засобу на пластиковій основі.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i/>
          <w:iCs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Отже, продаж транспортного засобу, що має ідентифікаційний номер, передбачає відповідне оформлення догово</w:t>
      </w:r>
      <w:r>
        <w:rPr>
          <w:rFonts w:ascii="Times New Roman CYR" w:hAnsi="Times New Roman CYR" w:cs="Times New Roman CYR"/>
          <w:sz w:val="29"/>
          <w:szCs w:val="29"/>
        </w:rPr>
        <w:t>ру купівлі-продажу цього транспортного засобу, зняття його з обліку, отримання свідоцтва про реєстрацію транспортного засобу (технічний паспорт).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Сутність та правова природа загальноцивільного представництва регулюються положеннями глави 17 ЦК України.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За частиною третьою статті 244 ЦК України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довіреність</w:t>
      </w:r>
      <w:r>
        <w:rPr>
          <w:rFonts w:ascii="Times New Roman CYR" w:hAnsi="Times New Roman CYR" w:cs="Times New Roman CYR"/>
          <w:sz w:val="29"/>
          <w:szCs w:val="29"/>
        </w:rPr>
        <w:t xml:space="preserve"> –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це письмовий документ, що видається однією особою іншій особі для представництва перед третіми особами</w:t>
      </w:r>
      <w:r>
        <w:rPr>
          <w:rFonts w:ascii="Times New Roman CYR" w:hAnsi="Times New Roman CYR" w:cs="Times New Roman CYR"/>
          <w:sz w:val="29"/>
          <w:szCs w:val="29"/>
        </w:rPr>
        <w:t>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Представництвом є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правовідношення, в якому одна сторона (представник) зобов’язана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або має право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вчинити правочин від імені другої сторони, яку вона представляє</w:t>
      </w:r>
      <w:r>
        <w:rPr>
          <w:rFonts w:ascii="Times New Roman CYR" w:hAnsi="Times New Roman CYR" w:cs="Times New Roman CYR"/>
          <w:sz w:val="29"/>
          <w:szCs w:val="29"/>
        </w:rPr>
        <w:t xml:space="preserve"> (частина перша статті 237 ЦК України)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Отже, довіреність свідчить про наявність між особою, яка її видала, та особою, якій її видано, правовідносин, які є представницькими відносинами.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Дого</w:t>
      </w:r>
      <w:r>
        <w:rPr>
          <w:rFonts w:ascii="Times New Roman CYR" w:hAnsi="Times New Roman CYR" w:cs="Times New Roman CYR"/>
          <w:sz w:val="29"/>
          <w:szCs w:val="29"/>
        </w:rPr>
        <w:t xml:space="preserve">вір купівлі-продажу – це угода, за якою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продавець (одна сторона)</w:t>
      </w:r>
      <w:r>
        <w:rPr>
          <w:rFonts w:ascii="Times New Roman CYR" w:hAnsi="Times New Roman CYR" w:cs="Times New Roman CYR"/>
          <w:sz w:val="29"/>
          <w:szCs w:val="29"/>
        </w:rPr>
        <w:t xml:space="preserve"> зобов’язується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передати майно у власність покупцеві </w:t>
      </w:r>
      <w:r>
        <w:rPr>
          <w:rFonts w:ascii="Times New Roman CYR" w:hAnsi="Times New Roman CYR" w:cs="Times New Roman CYR"/>
          <w:sz w:val="29"/>
          <w:szCs w:val="29"/>
        </w:rPr>
        <w:t>(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другій стороні</w:t>
      </w:r>
      <w:r>
        <w:rPr>
          <w:rFonts w:ascii="Times New Roman CYR" w:hAnsi="Times New Roman CYR" w:cs="Times New Roman CYR"/>
          <w:sz w:val="29"/>
          <w:szCs w:val="29"/>
        </w:rPr>
        <w:t>)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, а покупець </w:t>
      </w:r>
      <w:r>
        <w:rPr>
          <w:rFonts w:ascii="Times New Roman CYR" w:hAnsi="Times New Roman CYR" w:cs="Times New Roman CYR"/>
          <w:sz w:val="29"/>
          <w:szCs w:val="29"/>
        </w:rPr>
        <w:t>зоб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ов’язується прийняти майно і сплатити за нього певну грошову суму</w:t>
      </w:r>
      <w:r>
        <w:rPr>
          <w:rFonts w:ascii="Times New Roman CYR" w:hAnsi="Times New Roman CYR" w:cs="Times New Roman CYR"/>
          <w:sz w:val="29"/>
          <w:szCs w:val="29"/>
        </w:rPr>
        <w:t xml:space="preserve"> (стаття 655 ЦК України)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Аналіз зазначен</w:t>
      </w:r>
      <w:r>
        <w:rPr>
          <w:rFonts w:ascii="Times New Roman CYR" w:hAnsi="Times New Roman CYR" w:cs="Times New Roman CYR"/>
          <w:sz w:val="29"/>
          <w:szCs w:val="29"/>
        </w:rPr>
        <w:t>их норм матеріального права свідчить про те, що в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идач</w:t>
      </w:r>
      <w:r>
        <w:rPr>
          <w:rFonts w:ascii="Times New Roman CYR" w:hAnsi="Times New Roman CYR" w:cs="Times New Roman CYR"/>
          <w:sz w:val="29"/>
          <w:szCs w:val="29"/>
        </w:rPr>
        <w:t>а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дов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іреності на </w:t>
      </w:r>
      <w:r>
        <w:rPr>
          <w:rFonts w:ascii="Times New Roman CYR" w:hAnsi="Times New Roman CYR" w:cs="Times New Roman CYR"/>
          <w:sz w:val="29"/>
          <w:szCs w:val="29"/>
        </w:rPr>
        <w:t xml:space="preserve">володіння, користування та розпорядження транспортним засобом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без належного укладення договору купівлі-продажу</w:t>
      </w:r>
      <w:r>
        <w:rPr>
          <w:rFonts w:ascii="Times New Roman CYR" w:hAnsi="Times New Roman CYR" w:cs="Times New Roman CYR"/>
          <w:sz w:val="29"/>
          <w:szCs w:val="29"/>
        </w:rPr>
        <w:t xml:space="preserve"> цього транспортного засобу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 не вважа</w:t>
      </w:r>
      <w:r>
        <w:rPr>
          <w:rFonts w:ascii="Times New Roman CYR" w:hAnsi="Times New Roman CYR" w:cs="Times New Roman CYR"/>
          <w:sz w:val="29"/>
          <w:szCs w:val="29"/>
        </w:rPr>
        <w:t xml:space="preserve">ється укладеним відповідно до закону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дог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>овором</w:t>
      </w:r>
      <w:r>
        <w:rPr>
          <w:rFonts w:ascii="Times New Roman CYR" w:hAnsi="Times New Roman CYR" w:cs="Times New Roman CYR"/>
          <w:sz w:val="29"/>
          <w:szCs w:val="29"/>
        </w:rPr>
        <w:t xml:space="preserve"> та не є підставою для набуття права власності на транспортний засіб особою, яка цю довіреність отримала.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lastRenderedPageBreak/>
        <w:t>Разом з тим, позов про визнання права власності є спеціальним або допоміжним речово-правовим засобом захисту права власності.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Цивільне законод</w:t>
      </w:r>
      <w:r>
        <w:rPr>
          <w:rFonts w:ascii="Times New Roman CYR" w:hAnsi="Times New Roman CYR" w:cs="Times New Roman CYR"/>
          <w:sz w:val="29"/>
          <w:szCs w:val="29"/>
        </w:rPr>
        <w:t>авство визначає особливості реалізації правомочності власника.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  <w:r>
        <w:rPr>
          <w:rFonts w:ascii="Times New Roman CYR" w:hAnsi="Times New Roman CYR" w:cs="Times New Roman CYR"/>
          <w:color w:val="000000"/>
          <w:sz w:val="29"/>
          <w:szCs w:val="29"/>
        </w:rPr>
        <w:t>За правилами статті 392 ЦК України позов про визнання права власності може бути пред’явлено, по-перше, якщо особа є власником майна, але її право оспорюється або не визнається іншою особою; по</w:t>
      </w:r>
      <w:r>
        <w:rPr>
          <w:rFonts w:ascii="Times New Roman CYR" w:hAnsi="Times New Roman CYR" w:cs="Times New Roman CYR"/>
          <w:color w:val="000000"/>
          <w:sz w:val="29"/>
          <w:szCs w:val="29"/>
        </w:rPr>
        <w:t xml:space="preserve">-друге, якщо особа втратила документ, який засвідчує його право власності.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  <w:r>
        <w:rPr>
          <w:rFonts w:ascii="Times New Roman CYR" w:hAnsi="Times New Roman CYR" w:cs="Times New Roman CYR"/>
          <w:color w:val="000000"/>
          <w:sz w:val="29"/>
          <w:szCs w:val="29"/>
        </w:rPr>
        <w:t xml:space="preserve">Позивачем у позові про визнання права власності є власник – особа, яка має право власності на майно (тобто вже стала його власником, а не намагається ним стати через пред’явлення </w:t>
      </w:r>
      <w:r>
        <w:rPr>
          <w:rFonts w:ascii="Times New Roman CYR" w:hAnsi="Times New Roman CYR" w:cs="Times New Roman CYR"/>
          <w:color w:val="000000"/>
          <w:sz w:val="29"/>
          <w:szCs w:val="29"/>
        </w:rPr>
        <w:t xml:space="preserve">позову).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  <w:r>
        <w:rPr>
          <w:rFonts w:ascii="Times New Roman CYR" w:hAnsi="Times New Roman CYR" w:cs="Times New Roman CYR"/>
          <w:color w:val="000000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  <w:r>
        <w:rPr>
          <w:rFonts w:ascii="Times New Roman CYR" w:hAnsi="Times New Roman CYR" w:cs="Times New Roman CYR"/>
          <w:color w:val="000000"/>
          <w:sz w:val="29"/>
          <w:szCs w:val="29"/>
        </w:rPr>
        <w:t>Отже, ураховуючи, що відповідно до статті 328 ЦК України набуття права власності – це певний юридичний механізм, з яким закон пов’язує виникнення в особи суб’єктивного права власності на певні об’єкти, суд при застосуванні цієї норми повинен вс</w:t>
      </w:r>
      <w:r>
        <w:rPr>
          <w:rFonts w:ascii="Times New Roman CYR" w:hAnsi="Times New Roman CYR" w:cs="Times New Roman CYR"/>
          <w:color w:val="000000"/>
          <w:sz w:val="29"/>
          <w:szCs w:val="29"/>
        </w:rPr>
        <w:t xml:space="preserve">тановити, з яких саме передбачених законом підстав, у який передбачений законом спосіб позивач набув право власності на спірний об’єкт та чи підлягає це право захисту в порядку, визначеному статтею 392 ЦК України.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9"/>
          <w:szCs w:val="29"/>
        </w:rPr>
      </w:pPr>
      <w:r>
        <w:rPr>
          <w:rFonts w:ascii="Times New Roman CYR" w:hAnsi="Times New Roman CYR" w:cs="Times New Roman CYR"/>
          <w:color w:val="000000"/>
          <w:sz w:val="29"/>
          <w:szCs w:val="29"/>
        </w:rPr>
        <w:t>У справі, яка переглядається, у</w:t>
      </w:r>
      <w:r>
        <w:rPr>
          <w:rFonts w:ascii="Times New Roman CYR" w:hAnsi="Times New Roman CYR" w:cs="Times New Roman CYR"/>
          <w:color w:val="000000"/>
          <w:sz w:val="29"/>
          <w:szCs w:val="29"/>
          <w:lang w:val="ru-RU"/>
        </w:rPr>
        <w:t>становивш</w:t>
      </w:r>
      <w:r>
        <w:rPr>
          <w:rFonts w:ascii="Times New Roman CYR" w:hAnsi="Times New Roman CYR" w:cs="Times New Roman CYR"/>
          <w:color w:val="000000"/>
          <w:sz w:val="29"/>
          <w:szCs w:val="29"/>
          <w:lang w:val="ru-RU"/>
        </w:rPr>
        <w:t xml:space="preserve">и, що </w:t>
      </w:r>
      <w:r>
        <w:rPr>
          <w:rFonts w:ascii="Times New Roman CYR" w:hAnsi="Times New Roman CYR" w:cs="Times New Roman CYR"/>
          <w:color w:val="000000"/>
          <w:sz w:val="29"/>
          <w:szCs w:val="29"/>
        </w:rPr>
        <w:t>договір купівлі-продажу спірного автомобіля не укладався, цей автомобіль не знятий з обліку</w:t>
      </w:r>
      <w:r>
        <w:rPr>
          <w:rFonts w:ascii="Times New Roman CYR" w:hAnsi="Times New Roman CYR" w:cs="Times New Roman CYR"/>
          <w:sz w:val="29"/>
          <w:szCs w:val="29"/>
        </w:rPr>
        <w:t xml:space="preserve"> в уповноваженому органі МВС та зареєстрований за ОСОБА_2, суди дійшли правильного висновку про відсутність правових підстав для задоволення позовних вимог ОСО</w:t>
      </w:r>
      <w:r>
        <w:rPr>
          <w:rFonts w:ascii="Times New Roman CYR" w:hAnsi="Times New Roman CYR" w:cs="Times New Roman CYR"/>
          <w:sz w:val="29"/>
          <w:szCs w:val="29"/>
        </w:rPr>
        <w:t>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про визнання права власності на автомобіль на підставі статті </w:t>
      </w:r>
      <w:r>
        <w:rPr>
          <w:rFonts w:ascii="Times New Roman CYR" w:hAnsi="Times New Roman CYR" w:cs="Times New Roman CYR"/>
          <w:color w:val="000000"/>
          <w:sz w:val="29"/>
          <w:szCs w:val="29"/>
          <w:lang w:val="ru-RU"/>
        </w:rPr>
        <w:t>392 ЦК України</w:t>
      </w:r>
      <w:r>
        <w:rPr>
          <w:rFonts w:ascii="Times New Roman CYR" w:hAnsi="Times New Roman CYR" w:cs="Times New Roman CYR"/>
          <w:sz w:val="29"/>
          <w:szCs w:val="29"/>
        </w:rPr>
        <w:t xml:space="preserve">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Таким чином, у справі, яка переглядається, суди, правильно застосувавши норми статей 235, 244, 392 ЦК України, дійшли обґрунтованого висновку про те, що видача довіренос</w:t>
      </w:r>
      <w:r>
        <w:rPr>
          <w:rFonts w:ascii="Times New Roman CYR" w:hAnsi="Times New Roman CYR" w:cs="Times New Roman CYR"/>
          <w:sz w:val="29"/>
          <w:szCs w:val="29"/>
        </w:rPr>
        <w:t xml:space="preserve">ті на право володіння, користування та розпорядження автомобілем не свідчить про укладення договору купівлі-продажу автомобіля, тому відсутні правові підстави для визнання за позивачем права власності на спірний автомобіль.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За таких обставин підстав для</w:t>
      </w:r>
      <w:r>
        <w:rPr>
          <w:rFonts w:ascii="Times New Roman CYR" w:hAnsi="Times New Roman CYR" w:cs="Times New Roman CYR"/>
          <w:sz w:val="29"/>
          <w:szCs w:val="29"/>
        </w:rPr>
        <w:t xml:space="preserve"> скасування судових рішень у справі, яка переглядається, немає.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>Керуючись пунктом 1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  <w:lang w:val="ru-RU"/>
        </w:rPr>
        <w:t xml:space="preserve">частини першої статті 355, пунктом 2 </w:t>
      </w:r>
      <w:r>
        <w:rPr>
          <w:rFonts w:ascii="Times New Roman CYR" w:hAnsi="Times New Roman CYR" w:cs="Times New Roman CYR"/>
          <w:sz w:val="29"/>
          <w:szCs w:val="29"/>
        </w:rPr>
        <w:t>частини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першої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статті</w:t>
      </w:r>
      <w:r>
        <w:rPr>
          <w:rFonts w:ascii="TimesET" w:hAnsi="TimesET" w:cs="TimesET"/>
          <w:sz w:val="29"/>
          <w:szCs w:val="29"/>
          <w:lang w:val="en-US"/>
        </w:rPr>
        <w:t xml:space="preserve"> 360</w:t>
      </w:r>
      <w:r>
        <w:rPr>
          <w:rFonts w:ascii="Times New Roman CYR" w:hAnsi="Times New Roman CYR" w:cs="Times New Roman CYR"/>
          <w:sz w:val="29"/>
          <w:szCs w:val="29"/>
          <w:vertAlign w:val="superscript"/>
        </w:rPr>
        <w:t>3</w:t>
      </w:r>
      <w:r>
        <w:rPr>
          <w:rFonts w:ascii="Times New Roman CYR" w:hAnsi="Times New Roman CYR" w:cs="Times New Roman CYR"/>
          <w:sz w:val="29"/>
          <w:szCs w:val="29"/>
        </w:rPr>
        <w:t>,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частиною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третьою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статті</w:t>
      </w:r>
      <w:r>
        <w:rPr>
          <w:rFonts w:ascii="TimesET" w:hAnsi="TimesET" w:cs="TimesET"/>
          <w:sz w:val="29"/>
          <w:szCs w:val="29"/>
          <w:lang w:val="en-US"/>
        </w:rPr>
        <w:t xml:space="preserve"> 360</w:t>
      </w:r>
      <w:r>
        <w:rPr>
          <w:rFonts w:ascii="TimesET" w:hAnsi="TimesET" w:cs="TimesET"/>
          <w:sz w:val="29"/>
          <w:szCs w:val="29"/>
          <w:vertAlign w:val="superscript"/>
          <w:lang w:val="en-US"/>
        </w:rPr>
        <w:t>3</w:t>
      </w:r>
      <w:r>
        <w:rPr>
          <w:rFonts w:ascii="TimesET" w:hAnsi="TimesET" w:cs="TimesET"/>
          <w:sz w:val="29"/>
          <w:szCs w:val="29"/>
          <w:lang w:val="en-US"/>
        </w:rPr>
        <w:t xml:space="preserve">, </w:t>
      </w:r>
      <w:r>
        <w:rPr>
          <w:rFonts w:ascii="Times New Roman CYR" w:hAnsi="Times New Roman CYR" w:cs="Times New Roman CYR"/>
          <w:sz w:val="29"/>
          <w:szCs w:val="29"/>
        </w:rPr>
        <w:t>частиною першою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статті</w:t>
      </w:r>
      <w:r>
        <w:rPr>
          <w:rFonts w:ascii="TimesET" w:hAnsi="TimesET" w:cs="TimesET"/>
          <w:sz w:val="29"/>
          <w:szCs w:val="29"/>
          <w:lang w:val="en-US"/>
        </w:rPr>
        <w:t xml:space="preserve"> 360</w:t>
      </w:r>
      <w:r>
        <w:rPr>
          <w:rFonts w:ascii="Times New Roman CYR" w:hAnsi="Times New Roman CYR" w:cs="Times New Roman CYR"/>
          <w:sz w:val="29"/>
          <w:szCs w:val="29"/>
          <w:vertAlign w:val="superscript"/>
        </w:rPr>
        <w:t>5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lastRenderedPageBreak/>
        <w:t>ЦПК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України</w:t>
      </w:r>
      <w:r>
        <w:rPr>
          <w:rFonts w:ascii="TimesET" w:hAnsi="TimesET" w:cs="TimesET"/>
          <w:sz w:val="29"/>
          <w:szCs w:val="29"/>
          <w:lang w:val="en-US"/>
        </w:rPr>
        <w:t xml:space="preserve">, </w:t>
      </w:r>
      <w:r>
        <w:rPr>
          <w:rFonts w:ascii="Times New Roman CYR" w:hAnsi="Times New Roman CYR" w:cs="Times New Roman CYR"/>
          <w:sz w:val="29"/>
          <w:szCs w:val="29"/>
        </w:rPr>
        <w:t xml:space="preserve">Судова палата у цивільних справах </w:t>
      </w:r>
      <w:r>
        <w:rPr>
          <w:rFonts w:ascii="Times New Roman CYR" w:hAnsi="Times New Roman CYR" w:cs="Times New Roman CYR"/>
          <w:sz w:val="29"/>
          <w:szCs w:val="29"/>
        </w:rPr>
        <w:t>Верховного Суду України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>п о с т а н о в и л а :</w:t>
      </w:r>
    </w:p>
    <w:p w:rsidR="00000000" w:rsidRDefault="007F267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 xml:space="preserve">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ab/>
        <w:t>У задоволенні заяви ОСОБА_1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про перегляд Верховним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Судом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України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ухвали Вищого спеціалізованого суду України з розгляду цивільних і кримінальних справ від 20 лютого 2015 року, ухвали Апеляційного суду</w:t>
      </w:r>
      <w:r>
        <w:rPr>
          <w:rFonts w:ascii="Times New Roman CYR" w:hAnsi="Times New Roman CYR" w:cs="Times New Roman CYR"/>
          <w:sz w:val="29"/>
          <w:szCs w:val="29"/>
        </w:rPr>
        <w:t xml:space="preserve"> Черкаської області від 28 січня 2015 року та рішення Придніпровського районного суду м. Черкаси від 1 грудня 2014 року  </w:t>
      </w:r>
      <w:r>
        <w:rPr>
          <w:rFonts w:ascii="Times NR Cyr MT" w:hAnsi="Times NR Cyr MT" w:cs="Times NR Cyr M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відмовити.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ET" w:hAnsi="TimesET" w:cs="TimesET"/>
          <w:sz w:val="29"/>
          <w:szCs w:val="29"/>
          <w:lang w:val="en-US"/>
        </w:rPr>
      </w:pPr>
      <w:r>
        <w:rPr>
          <w:rFonts w:ascii="Times New Roman CYR" w:hAnsi="Times New Roman CYR" w:cs="Times New Roman CYR"/>
          <w:sz w:val="29"/>
          <w:szCs w:val="29"/>
        </w:rPr>
        <w:t>Постанова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Верховного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Суду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України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є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остаточною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і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може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бути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оскаржена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тільки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на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підставі</w:t>
      </w:r>
      <w:r>
        <w:rPr>
          <w:rFonts w:ascii="TimesET" w:hAnsi="TimesET" w:cs="TimesET"/>
          <w:sz w:val="29"/>
          <w:szCs w:val="29"/>
          <w:lang w:val="en-US"/>
        </w:rPr>
        <w:t xml:space="preserve">, </w:t>
      </w:r>
      <w:r>
        <w:rPr>
          <w:rFonts w:ascii="Times New Roman CYR" w:hAnsi="Times New Roman CYR" w:cs="Times New Roman CYR"/>
          <w:sz w:val="29"/>
          <w:szCs w:val="29"/>
        </w:rPr>
        <w:t>встановленій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пунктом</w:t>
      </w:r>
      <w:r>
        <w:rPr>
          <w:rFonts w:ascii="TimesET" w:hAnsi="TimesET" w:cs="TimesET"/>
          <w:sz w:val="29"/>
          <w:szCs w:val="29"/>
          <w:lang w:val="en-US"/>
        </w:rPr>
        <w:t xml:space="preserve"> 3 </w:t>
      </w:r>
      <w:r>
        <w:rPr>
          <w:rFonts w:ascii="Times New Roman CYR" w:hAnsi="Times New Roman CYR" w:cs="Times New Roman CYR"/>
          <w:sz w:val="29"/>
          <w:szCs w:val="29"/>
        </w:rPr>
        <w:t>частини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пер</w:t>
      </w:r>
      <w:r>
        <w:rPr>
          <w:rFonts w:ascii="Times New Roman CYR" w:hAnsi="Times New Roman CYR" w:cs="Times New Roman CYR"/>
          <w:sz w:val="29"/>
          <w:szCs w:val="29"/>
        </w:rPr>
        <w:t>шої</w:t>
      </w:r>
      <w:r>
        <w:rPr>
          <w:rFonts w:ascii="TimesET" w:hAnsi="TimesET" w:cs="TimesET"/>
          <w:sz w:val="29"/>
          <w:szCs w:val="29"/>
          <w:lang w:val="en-US"/>
        </w:rPr>
        <w:t xml:space="preserve"> </w:t>
      </w:r>
      <w:r>
        <w:rPr>
          <w:rFonts w:ascii="Times New Roman CYR" w:hAnsi="Times New Roman CYR" w:cs="Times New Roman CYR"/>
          <w:sz w:val="29"/>
          <w:szCs w:val="29"/>
        </w:rPr>
        <w:t>статті</w:t>
      </w:r>
      <w:r>
        <w:rPr>
          <w:rFonts w:ascii="TimesET" w:hAnsi="TimesET" w:cs="TimesET"/>
          <w:sz w:val="29"/>
          <w:szCs w:val="29"/>
          <w:lang w:val="en-US"/>
        </w:rPr>
        <w:t xml:space="preserve"> 355 </w:t>
      </w:r>
      <w:r>
        <w:rPr>
          <w:rFonts w:ascii="Times New Roman CYR" w:hAnsi="Times New Roman CYR" w:cs="Times New Roman CYR"/>
          <w:sz w:val="29"/>
          <w:szCs w:val="29"/>
        </w:rPr>
        <w:t>Цивільного процесуального кодексу України</w:t>
      </w:r>
      <w:r>
        <w:rPr>
          <w:rFonts w:ascii="TimesET" w:hAnsi="TimesET" w:cs="TimesET"/>
          <w:sz w:val="29"/>
          <w:szCs w:val="29"/>
          <w:lang w:val="en-US"/>
        </w:rPr>
        <w:t>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  <w:r>
        <w:rPr>
          <w:rFonts w:ascii="Times New Roman CYR" w:hAnsi="Times New Roman CYR" w:cs="Times New Roman CYR"/>
          <w:sz w:val="29"/>
          <w:szCs w:val="29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>Головуючий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  <w:t xml:space="preserve">                                    Л.І. Охрімчук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>Судді: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  <w:t xml:space="preserve">       В.І. Гуменюк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                                                                                           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Н.П. Лященко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</w:r>
      <w:r>
        <w:rPr>
          <w:rFonts w:ascii="Times New Roman CYR" w:hAnsi="Times New Roman CYR" w:cs="Times New Roman CYR"/>
          <w:b/>
          <w:bCs/>
          <w:sz w:val="29"/>
          <w:szCs w:val="29"/>
        </w:rPr>
        <w:tab/>
        <w:t xml:space="preserve">       В.М. Сімоненко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                                                                                             А.Г. Ярема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                                                                                               </w:t>
      </w:r>
      <w:r>
        <w:rPr>
          <w:rFonts w:ascii="Times New Roman CYR" w:hAnsi="Times New Roman CYR" w:cs="Times New Roman CYR"/>
          <w:b/>
          <w:bCs/>
          <w:sz w:val="29"/>
          <w:szCs w:val="29"/>
        </w:rPr>
        <w:t xml:space="preserve"> 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9"/>
          <w:szCs w:val="29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>ПРАВОВА ПОЗИЦІЯ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у справі № 6-688цс15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идач</w:t>
      </w:r>
      <w:r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дов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іреності на </w:t>
      </w:r>
      <w:r>
        <w:rPr>
          <w:rFonts w:ascii="Times New Roman CYR" w:hAnsi="Times New Roman CYR" w:cs="Times New Roman CYR"/>
          <w:sz w:val="28"/>
          <w:szCs w:val="28"/>
        </w:rPr>
        <w:t xml:space="preserve">володіння, користування та розпорядження транспортним засобом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без належного укладення договору купівлі-продажу</w:t>
      </w:r>
      <w:r>
        <w:rPr>
          <w:rFonts w:ascii="Times New Roman CYR" w:hAnsi="Times New Roman CYR" w:cs="Times New Roman CYR"/>
          <w:sz w:val="28"/>
          <w:szCs w:val="28"/>
        </w:rPr>
        <w:t xml:space="preserve"> цього транспортн</w:t>
      </w:r>
      <w:r>
        <w:rPr>
          <w:rFonts w:ascii="Times New Roman CYR" w:hAnsi="Times New Roman CYR" w:cs="Times New Roman CYR"/>
          <w:sz w:val="28"/>
          <w:szCs w:val="28"/>
        </w:rPr>
        <w:t>ого засобу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не вважа</w:t>
      </w:r>
      <w:r>
        <w:rPr>
          <w:rFonts w:ascii="Times New Roman CYR" w:hAnsi="Times New Roman CYR" w:cs="Times New Roman CYR"/>
          <w:sz w:val="28"/>
          <w:szCs w:val="28"/>
        </w:rPr>
        <w:t xml:space="preserve">ється укладеним відповідно до закону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договором</w:t>
      </w:r>
      <w:r>
        <w:rPr>
          <w:rFonts w:ascii="Times New Roman CYR" w:hAnsi="Times New Roman CYR" w:cs="Times New Roman CYR"/>
          <w:sz w:val="28"/>
          <w:szCs w:val="28"/>
        </w:rPr>
        <w:t xml:space="preserve"> та не є підставою для набуття права власності на транспортний засіб особою, яка цю довіреність отримала.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>Суддя Верховного Суду України                                                    Л.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І. Охрімчук</w:t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7F2677">
      <w:pPr>
        <w:widowControl w:val="0"/>
        <w:tabs>
          <w:tab w:val="left" w:pos="342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ab/>
      </w:r>
    </w:p>
    <w:p w:rsidR="00000000" w:rsidRDefault="007F26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sectPr w:rsidR="00000000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R Cyr 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E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4"/>
  <w:embedSystemFonts/>
  <w:bordersDoNotSurroundHeader/>
  <w:bordersDoNotSurroundFooter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F2677"/>
    <w:rsid w:val="007F2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9631</Words>
  <Characters>5490</Characters>
  <Application>Microsoft Office Word</Application>
  <DocSecurity>0</DocSecurity>
  <Lines>45</Lines>
  <Paragraphs>30</Paragraphs>
  <ScaleCrop>false</ScaleCrop>
  <Company>SPecialiST RePack</Company>
  <LinksUpToDate>false</LinksUpToDate>
  <CharactersWithSpaces>15091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2018-07-22T06:09:00Z</dcterms:created>
  <dcterms:modified xsi:type="dcterms:W3CDTF">2018-07-22T06:09:00Z</dcterms:modified>
</cp:coreProperties>
</file>