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DEC">
      <w:pPr>
        <w:pStyle w:val="a6"/>
        <w:spacing w:line="340" w:lineRule="exac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П О С Т А Н О В А</w:t>
      </w:r>
    </w:p>
    <w:p w:rsidR="00000000" w:rsidRDefault="00C31DEC">
      <w:pPr>
        <w:pStyle w:val="a6"/>
        <w:spacing w:after="0" w:line="3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ІМЕНЕМ  УКРАЇНИ</w:t>
      </w:r>
    </w:p>
    <w:p w:rsidR="00000000" w:rsidRDefault="00C31DEC">
      <w:pPr>
        <w:spacing w:line="340" w:lineRule="exact"/>
        <w:rPr>
          <w:b/>
          <w:bCs/>
          <w:i/>
          <w:iCs/>
          <w:sz w:val="28"/>
          <w:szCs w:val="28"/>
          <w:lang w:val="uk-UA"/>
        </w:rPr>
      </w:pPr>
    </w:p>
    <w:p w:rsidR="00000000" w:rsidRDefault="00C31DEC">
      <w:pPr>
        <w:spacing w:line="340" w:lineRule="exact"/>
        <w:rPr>
          <w:b/>
          <w:bCs/>
          <w:sz w:val="28"/>
          <w:szCs w:val="28"/>
          <w:lang w:val="uk-UA"/>
        </w:rPr>
      </w:pPr>
      <w:r>
        <w:rPr>
          <w:b/>
          <w:bCs/>
          <w:i/>
          <w:iCs/>
          <w:sz w:val="28"/>
          <w:szCs w:val="28"/>
          <w:lang w:val="uk-UA"/>
        </w:rPr>
        <w:t xml:space="preserve">         11 березня 2015 року</w:t>
      </w:r>
      <w:r>
        <w:rPr>
          <w:b/>
          <w:bCs/>
          <w:i/>
          <w:iCs/>
          <w:sz w:val="28"/>
          <w:szCs w:val="28"/>
          <w:lang w:val="uk-UA"/>
        </w:rPr>
        <w:tab/>
      </w:r>
      <w:r>
        <w:rPr>
          <w:b/>
          <w:bCs/>
          <w:i/>
          <w:iCs/>
          <w:sz w:val="28"/>
          <w:szCs w:val="28"/>
          <w:lang w:val="uk-UA"/>
        </w:rPr>
        <w:tab/>
      </w:r>
      <w:r>
        <w:rPr>
          <w:b/>
          <w:bCs/>
          <w:i/>
          <w:iCs/>
          <w:sz w:val="28"/>
          <w:szCs w:val="28"/>
          <w:lang w:val="uk-UA"/>
        </w:rPr>
        <w:tab/>
      </w:r>
      <w:r>
        <w:rPr>
          <w:b/>
          <w:bCs/>
          <w:i/>
          <w:iCs/>
          <w:sz w:val="28"/>
          <w:szCs w:val="28"/>
          <w:lang w:val="uk-UA"/>
        </w:rPr>
        <w:tab/>
      </w:r>
      <w:r>
        <w:rPr>
          <w:b/>
          <w:bCs/>
          <w:i/>
          <w:iCs/>
          <w:sz w:val="28"/>
          <w:szCs w:val="28"/>
          <w:lang w:val="uk-UA"/>
        </w:rPr>
        <w:tab/>
        <w:t xml:space="preserve">          </w:t>
      </w:r>
      <w:r>
        <w:rPr>
          <w:b/>
          <w:bCs/>
          <w:i/>
          <w:iCs/>
          <w:sz w:val="28"/>
          <w:szCs w:val="28"/>
          <w:lang w:val="uk-UA"/>
        </w:rPr>
        <w:tab/>
      </w:r>
      <w:r>
        <w:rPr>
          <w:b/>
          <w:bCs/>
          <w:i/>
          <w:iCs/>
          <w:sz w:val="28"/>
          <w:szCs w:val="28"/>
          <w:lang w:val="uk-UA"/>
        </w:rPr>
        <w:tab/>
      </w:r>
      <w:r>
        <w:rPr>
          <w:b/>
          <w:bCs/>
          <w:i/>
          <w:iCs/>
          <w:sz w:val="28"/>
          <w:szCs w:val="28"/>
          <w:lang w:val="uk-UA"/>
        </w:rPr>
        <w:tab/>
        <w:t>м. Київ</w:t>
      </w:r>
    </w:p>
    <w:p w:rsidR="00000000" w:rsidRDefault="00C31DEC">
      <w:pPr>
        <w:spacing w:line="340" w:lineRule="exact"/>
        <w:rPr>
          <w:b/>
          <w:bCs/>
          <w:sz w:val="28"/>
          <w:szCs w:val="28"/>
          <w:lang w:val="uk-UA"/>
        </w:rPr>
      </w:pPr>
    </w:p>
    <w:p w:rsidR="00000000" w:rsidRDefault="00C31DEC">
      <w:pPr>
        <w:pStyle w:val="21"/>
        <w:spacing w:line="340" w:lineRule="exact"/>
        <w:ind w:left="0" w:firstLine="72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Судова палата у цивільних справах Верховного Суду України в складі: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00"/>
        <w:gridCol w:w="3960"/>
        <w:gridCol w:w="2880"/>
        <w:gridCol w:w="71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головуючого</w:t>
            </w:r>
          </w:p>
        </w:tc>
        <w:tc>
          <w:tcPr>
            <w:tcW w:w="396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Яреми А.Г.,</w:t>
            </w:r>
          </w:p>
        </w:tc>
        <w:tc>
          <w:tcPr>
            <w:tcW w:w="288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  <w:tc>
          <w:tcPr>
            <w:tcW w:w="716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суддів:</w:t>
            </w:r>
          </w:p>
        </w:tc>
        <w:tc>
          <w:tcPr>
            <w:tcW w:w="396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Григор’євої Л.І.,</w:t>
            </w:r>
          </w:p>
        </w:tc>
        <w:tc>
          <w:tcPr>
            <w:tcW w:w="288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Охрімчук Л.І.,</w:t>
            </w:r>
          </w:p>
        </w:tc>
        <w:tc>
          <w:tcPr>
            <w:tcW w:w="716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000000" w:rsidRDefault="00C31DEC">
            <w:pPr>
              <w:spacing w:line="340" w:lineRule="exact"/>
              <w:ind w:firstLine="15"/>
              <w:rPr>
                <w:sz w:val="28"/>
                <w:szCs w:val="28"/>
                <w:lang w:val="uk-UA"/>
              </w:rPr>
            </w:pPr>
          </w:p>
        </w:tc>
        <w:tc>
          <w:tcPr>
            <w:tcW w:w="396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Гуменюка В.І.,</w:t>
            </w:r>
          </w:p>
        </w:tc>
        <w:tc>
          <w:tcPr>
            <w:tcW w:w="288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Сеніна Ю.Л.</w:t>
            </w: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,</w:t>
            </w:r>
          </w:p>
        </w:tc>
        <w:tc>
          <w:tcPr>
            <w:tcW w:w="716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000000" w:rsidRDefault="00C31DEC">
            <w:pPr>
              <w:spacing w:line="340" w:lineRule="exact"/>
              <w:ind w:firstLine="15"/>
              <w:rPr>
                <w:sz w:val="28"/>
                <w:szCs w:val="28"/>
                <w:lang w:val="uk-UA"/>
              </w:rPr>
            </w:pPr>
          </w:p>
        </w:tc>
        <w:tc>
          <w:tcPr>
            <w:tcW w:w="396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Лященко Н.П.,</w:t>
            </w:r>
          </w:p>
        </w:tc>
        <w:tc>
          <w:tcPr>
            <w:tcW w:w="288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Сімоненко В.М., -</w:t>
            </w:r>
          </w:p>
        </w:tc>
        <w:tc>
          <w:tcPr>
            <w:tcW w:w="716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000000" w:rsidRDefault="00C31DEC">
            <w:pPr>
              <w:spacing w:line="340" w:lineRule="exact"/>
              <w:ind w:firstLine="15"/>
              <w:rPr>
                <w:sz w:val="28"/>
                <w:szCs w:val="28"/>
                <w:lang w:val="uk-UA"/>
              </w:rPr>
            </w:pPr>
          </w:p>
        </w:tc>
        <w:tc>
          <w:tcPr>
            <w:tcW w:w="3960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  <w:tc>
          <w:tcPr>
            <w:tcW w:w="2880" w:type="dxa"/>
          </w:tcPr>
          <w:p w:rsidR="00000000" w:rsidRDefault="00C31DEC">
            <w:pPr>
              <w:spacing w:line="340" w:lineRule="exact"/>
              <w:ind w:right="-176"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  <w:tc>
          <w:tcPr>
            <w:tcW w:w="716" w:type="dxa"/>
          </w:tcPr>
          <w:p w:rsidR="00000000" w:rsidRDefault="00C31DEC">
            <w:pPr>
              <w:spacing w:line="340" w:lineRule="exact"/>
              <w:ind w:firstLine="15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</w:tr>
    </w:tbl>
    <w:p w:rsidR="00000000" w:rsidRDefault="00C31DEC">
      <w:pPr>
        <w:spacing w:before="120" w:line="340" w:lineRule="exact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в судовому засіданні </w:t>
      </w:r>
      <w:r>
        <w:rPr>
          <w:b/>
          <w:i/>
          <w:sz w:val="28"/>
          <w:szCs w:val="28"/>
          <w:lang w:val="uk-UA"/>
        </w:rPr>
        <w:t>справу</w:t>
      </w:r>
      <w:r>
        <w:rPr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sz w:val="28"/>
          <w:lang w:val="uk-UA"/>
        </w:rPr>
        <w:t xml:space="preserve">за позовом публічного акціонерного товариства комерційного банку “ПриватБанк” до </w:t>
      </w:r>
      <w:r>
        <w:rPr>
          <w:b/>
          <w:bCs/>
          <w:i/>
          <w:iCs/>
          <w:sz w:val="28"/>
          <w:szCs w:val="28"/>
          <w:lang w:val="uk-UA"/>
        </w:rPr>
        <w:t>ОСОБА_1</w:t>
      </w:r>
      <w:r>
        <w:rPr>
          <w:b/>
          <w:bCs/>
          <w:i/>
          <w:iCs/>
          <w:sz w:val="28"/>
          <w:lang w:val="uk-UA"/>
        </w:rPr>
        <w:t xml:space="preserve"> про стягнення заборгованості за кредитним договором</w:t>
      </w:r>
      <w:r>
        <w:rPr>
          <w:b/>
          <w:i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за заявою ОСОБА_1 про</w:t>
      </w:r>
      <w:r>
        <w:rPr>
          <w:sz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перегляд </w:t>
      </w:r>
      <w:r>
        <w:rPr>
          <w:sz w:val="28"/>
          <w:lang w:val="uk-UA"/>
        </w:rPr>
        <w:t>ухвали колегії суддів судової палати у цивільних справах Вищого спеціалізованого суду України з розгляду цивільних і кримінальних справ від         17 вересня 2014 року</w:t>
      </w:r>
      <w:r>
        <w:rPr>
          <w:sz w:val="28"/>
          <w:szCs w:val="28"/>
          <w:lang w:val="uk-UA"/>
        </w:rPr>
        <w:t>,</w:t>
      </w:r>
    </w:p>
    <w:p w:rsidR="00000000" w:rsidRDefault="00C31DEC">
      <w:pPr>
        <w:spacing w:line="340" w:lineRule="exact"/>
        <w:jc w:val="both"/>
        <w:rPr>
          <w:sz w:val="28"/>
          <w:szCs w:val="28"/>
          <w:lang w:val="uk-UA"/>
        </w:rPr>
      </w:pPr>
    </w:p>
    <w:p w:rsidR="00000000" w:rsidRDefault="00C31DEC">
      <w:pPr>
        <w:spacing w:line="340" w:lineRule="exact"/>
        <w:jc w:val="center"/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в с т а н о в и л а:</w:t>
      </w:r>
    </w:p>
    <w:p w:rsidR="00000000" w:rsidRDefault="00C31DEC">
      <w:pPr>
        <w:spacing w:line="340" w:lineRule="exact"/>
        <w:jc w:val="center"/>
        <w:rPr>
          <w:b/>
          <w:i/>
          <w:sz w:val="28"/>
          <w:szCs w:val="28"/>
          <w:lang w:val="uk-UA"/>
        </w:rPr>
      </w:pP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У жовтні 2013 року публічне акціонерне товариство комерційний б</w:t>
      </w:r>
      <w:r>
        <w:rPr>
          <w:sz w:val="28"/>
          <w:lang w:val="uk-UA"/>
        </w:rPr>
        <w:t xml:space="preserve">анк “ПриватБанк” (далі – ПАТ КБ “ПриватБанк”) звернулось до суду із зазначеною позовною заявою, посилаючись на те, що 14 вересня 2006 року між банком і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укладено договір, відповідно до умов якого останній отримав кредит у розмірі 2 389 грн 40 коп. з</w:t>
      </w:r>
      <w:r>
        <w:rPr>
          <w:sz w:val="28"/>
          <w:lang w:val="uk-UA"/>
        </w:rPr>
        <w:t>і сплатою процентів за користування кредитом на строк 24 місяці.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У зв’язку з невиконанням відповідачем своїх зобов'язань за договором станом на 14 жовтня 2013 року в нього перед банком утворилась заборгованість у розмірі 31 223 грн 08 коп., що складається </w:t>
      </w:r>
      <w:r>
        <w:rPr>
          <w:sz w:val="28"/>
          <w:lang w:val="uk-UA"/>
        </w:rPr>
        <w:t>з: 2 389 грн 40 коп. заборгованості за кредитом, 10 062 грн 68 коп. заборгованості за процентами, 16 808 грн пені за несвоєчасне виконання зобов'язання, 500 грн штрафу (фіксована частина),              1 463 грн штрафу (процентна складова), яку ПАТ КБ “При</w:t>
      </w:r>
      <w:r>
        <w:rPr>
          <w:sz w:val="28"/>
          <w:lang w:val="uk-UA"/>
        </w:rPr>
        <w:t xml:space="preserve">ватБанк” просило стягнути на його користь із відповідача, а також 312 грн 23 коп. судового збору. </w:t>
      </w:r>
    </w:p>
    <w:p w:rsidR="00000000" w:rsidRDefault="00C31DEC">
      <w:pPr>
        <w:pStyle w:val="3"/>
        <w:spacing w:before="120" w:after="120" w:line="340" w:lineRule="exact"/>
        <w:rPr>
          <w:rFonts w:ascii="Times New Roman" w:hAnsi="Times New Roman"/>
          <w:szCs w:val="24"/>
        </w:rPr>
      </w:pPr>
    </w:p>
    <w:p w:rsidR="00000000" w:rsidRDefault="00C31DEC">
      <w:pPr>
        <w:pStyle w:val="3"/>
        <w:spacing w:before="120" w:after="120" w:line="340" w:lineRule="exac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Рішенням Василівського районного суду Запорізької області від                      28 листопада 2013 року позов ПАТ КБ “ПриватБанк” задоволено.</w:t>
      </w:r>
    </w:p>
    <w:p w:rsidR="00000000" w:rsidRDefault="00C31DEC">
      <w:pPr>
        <w:spacing w:before="120" w:after="120" w:line="340" w:lineRule="exact"/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lang w:val="uk-UA"/>
        </w:rPr>
        <w:t>Рішенням Апе</w:t>
      </w:r>
      <w:r>
        <w:rPr>
          <w:sz w:val="28"/>
          <w:lang w:val="uk-UA"/>
        </w:rPr>
        <w:t>ляційного суду Запорізької області від 28 січня 2014 року вказане рішення суду першої інстанції в частині задоволення позову про стягнення пені, штрафу змінено: стягнуто з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 xml:space="preserve">на користь </w:t>
      </w:r>
      <w:r>
        <w:rPr>
          <w:sz w:val="28"/>
          <w:szCs w:val="28"/>
          <w:lang w:val="uk-UA"/>
        </w:rPr>
        <w:t xml:space="preserve">ПАТ КБ “ПриватБанк” </w:t>
      </w:r>
      <w:r>
        <w:rPr>
          <w:color w:val="000000"/>
          <w:sz w:val="28"/>
          <w:szCs w:val="28"/>
          <w:lang w:val="uk-UA"/>
        </w:rPr>
        <w:t xml:space="preserve">пеню в розмірі 4 290 грн 86 </w:t>
      </w:r>
      <w:r>
        <w:rPr>
          <w:sz w:val="28"/>
          <w:lang w:val="uk-UA"/>
        </w:rPr>
        <w:t>коп., штраф (5% в</w:t>
      </w:r>
      <w:r>
        <w:rPr>
          <w:sz w:val="28"/>
          <w:lang w:val="uk-UA"/>
        </w:rPr>
        <w:t>ід суми заборгованості) у розмірі 862 грн 16 коп., судовий збір</w:t>
      </w:r>
      <w:r>
        <w:rPr>
          <w:color w:val="000000"/>
          <w:sz w:val="28"/>
          <w:szCs w:val="28"/>
          <w:lang w:val="uk-UA"/>
        </w:rPr>
        <w:t xml:space="preserve"> у розмірі 181 грн 05 коп.;             в іншій частині рішення районного суду залишено без змін.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Ухвалою колегії суддів судової палати у цивільних справах Вищого спеціалізованого суду України </w:t>
      </w:r>
      <w:r>
        <w:rPr>
          <w:sz w:val="28"/>
          <w:lang w:val="uk-UA"/>
        </w:rPr>
        <w:t>з розгляду цивільних і кримінальних справ від          17 вересня 2014 року зазначені рішення судів першої та апеляційної інстанцій залишено без змін.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У заяві про перегляд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порушує питання про скасування ухвали колегії суддів судової палати у цивіль</w:t>
      </w:r>
      <w:r>
        <w:rPr>
          <w:sz w:val="28"/>
          <w:lang w:val="uk-UA"/>
        </w:rPr>
        <w:t>них справах Вищого спеціалізованого суду України з розгляду цивільних і кримінальних справ від 17 вересня 2014 року й прийняття нового судового рішення з підстав, передбачених пунктом 1 частини першої статті 355 Цивільного процесуального кодексу України (д</w:t>
      </w:r>
      <w:r>
        <w:rPr>
          <w:sz w:val="28"/>
          <w:lang w:val="uk-UA"/>
        </w:rPr>
        <w:t>алі – ЦПК України), – неоднакового застосування судом касаційної інстанції однієї й тієї самої норми матеріального права, а саме частини першої статті 259 Цивільного кодексу України (далі – ЦК України), що потягло ухвалення різних за змістом судових рішень</w:t>
      </w:r>
      <w:r>
        <w:rPr>
          <w:sz w:val="28"/>
          <w:lang w:val="uk-UA"/>
        </w:rPr>
        <w:t xml:space="preserve"> у подібних правовідносинах.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Для прикладу наявності зазначеної підстави подання заяви про перегляд судового рішення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 xml:space="preserve">посилається на ухвали колегії суддів судової палати у цивільних справах Вищого спеціалізованого суду України з розгляду цивільних і </w:t>
      </w:r>
      <w:r>
        <w:rPr>
          <w:sz w:val="28"/>
          <w:lang w:val="uk-UA"/>
        </w:rPr>
        <w:t>кримінальних справ від 13 листопада 2013 року (№ 6-38753св13) та від 18 грудня 2013 року (№ 6-40942св13) у справах за позовами ПАТ КБ “ПриватБанк” про стягнення заборгованості за кредитним договором.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Так, у справі № 6-38753св13 суд касаційної інстанції зал</w:t>
      </w:r>
      <w:r>
        <w:rPr>
          <w:sz w:val="28"/>
          <w:lang w:val="uk-UA"/>
        </w:rPr>
        <w:t>ишив рішення судів першої та апеляційної інстанцій про відмову в задоволенні позову без змін виходячи з того, що хоча в заяві позичальника (відповідач у справі) на отримання кредиту зазначено, що він ознайомлений і згодний із Умовами надання споживчого кре</w:t>
      </w:r>
      <w:r>
        <w:rPr>
          <w:sz w:val="28"/>
          <w:lang w:val="uk-UA"/>
        </w:rPr>
        <w:t>диту фізичним особам, в яких, зокрема, строк позовної давності встановлений тривалістю в п’ять років, однак указані Умови не містять підпису відповідача. Будь-яких доказів, які б підтверджували, що саме із цими Умовами ознайомлений відповідач, підписуючи з</w:t>
      </w:r>
      <w:r>
        <w:rPr>
          <w:sz w:val="28"/>
          <w:lang w:val="uk-UA"/>
        </w:rPr>
        <w:t xml:space="preserve">аяву позичальника, у матеріалах справи немає, тому застосуванню підлягає положення статті </w:t>
      </w:r>
      <w:hyperlink r:id="rId6" w:anchor="843298" w:tgtFrame="_blank" w:tooltip="Цивільний кодекс України; нормативно-правовий акт № 435-IV від 16.01.2003" w:history="1">
        <w:r>
          <w:rPr>
            <w:sz w:val="28"/>
            <w:lang w:val="uk-UA"/>
          </w:rPr>
          <w:t>257</w:t>
        </w:r>
      </w:hyperlink>
      <w:r>
        <w:rPr>
          <w:sz w:val="28"/>
          <w:lang w:val="uk-UA"/>
        </w:rPr>
        <w:t xml:space="preserve"> ЦК України, якою встановлено загальну позовну давність тривалістю в три роки. Так, у ПАТ КБ “ПриватБанк” виникло право вимагати повернення кредиту          20 червня 2008 року, проте банк звернувся до су</w:t>
      </w:r>
      <w:r>
        <w:rPr>
          <w:sz w:val="28"/>
          <w:lang w:val="uk-UA"/>
        </w:rPr>
        <w:t>ду з позовом про захист свого порушеного права лише у квітні 2013 року, тобто з пропуском трирічного строку позовної давності.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Скасовуючи рішення апеляційного суду та передаючи справу на новий розгляд до цього суду, суд касаційної  інстанції у справі № 6-</w:t>
      </w:r>
      <w:r>
        <w:rPr>
          <w:sz w:val="28"/>
          <w:lang w:val="uk-UA"/>
        </w:rPr>
        <w:t xml:space="preserve">40942св13, крім іншого, зазначив, що в кредитному договорі, який оформлений заявкою, указано, що позичальник (відповідач у справі) ознайомився та згоден з Умовами надання споживчого кредиту фізичним особам («Розстрочка») (Стандарт), в яких, зокрема, строк </w:t>
      </w:r>
      <w:r>
        <w:rPr>
          <w:sz w:val="28"/>
          <w:lang w:val="uk-UA"/>
        </w:rPr>
        <w:t>позовної давності встановлений тривалістю в п’ять років. Однак такі Умови не містять підпису позичальника (відповідача у справі), а в матеріалах справи немає будь-яких доказів, які б підтверджували, що саме ці Умови розумів відповідач, підписуючи заяву поз</w:t>
      </w:r>
      <w:r>
        <w:rPr>
          <w:sz w:val="28"/>
          <w:lang w:val="uk-UA"/>
        </w:rPr>
        <w:t>ичальника, і вони діяли в момент підписання заяви.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У справі, яка переглядається, суд касаційної інстанції погодився з висновками судів першої та апеляційної інстанцій і виходив із того, що в заяві позичальника на отримання кредиту від 14 вересня 2006 року,</w:t>
      </w:r>
      <w:r>
        <w:rPr>
          <w:sz w:val="28"/>
          <w:lang w:val="uk-UA"/>
        </w:rPr>
        <w:t xml:space="preserve"> яка завізована підписом відповідача, зазначено, що він ознайомлений і згодний з Умовами надання споживчого кредиту фізичним особам, а також погодився з тим, що заява разом з Умовами надання споживчого кредиту фізичним особам, тарифами складає між ним і ба</w:t>
      </w:r>
      <w:r>
        <w:rPr>
          <w:sz w:val="28"/>
          <w:lang w:val="uk-UA"/>
        </w:rPr>
        <w:t>нком кредитний договір. Пунктом 5.5 Умов надання споживчого кредиту фізичним особам («Розстрочка») (Стандарт) позовна давність до вимог про стягнення кредиту, процентів за користування ним, винагороди, неустойки – пені, штрафів за договором установлена сто</w:t>
      </w:r>
      <w:r>
        <w:rPr>
          <w:sz w:val="28"/>
          <w:lang w:val="uk-UA"/>
        </w:rPr>
        <w:t xml:space="preserve">ронами тривалістю в п’ять років, що відповідає положенню частини першої </w:t>
      </w:r>
      <w:hyperlink r:id="rId7" w:anchor="843300" w:tgtFrame="_blank" w:tooltip="Цивільний кодекс України; нормативно-правовий акт № 435-IV від 16.01.2003" w:history="1">
        <w:r>
          <w:rPr>
            <w:sz w:val="28"/>
            <w:lang w:val="uk-UA"/>
          </w:rPr>
          <w:t>статті 259 ЦК України</w:t>
        </w:r>
      </w:hyperlink>
      <w:r>
        <w:rPr>
          <w:sz w:val="28"/>
          <w:lang w:val="uk-UA"/>
        </w:rPr>
        <w:t>. Посилання відповідача на те, що при підписанні заяви позичальника він не підписував будь-яких Умов і не був ознайомлений з ними, не заслуговують на увагу та можуть бути підставою для визнання договору н</w:t>
      </w:r>
      <w:r>
        <w:rPr>
          <w:sz w:val="28"/>
          <w:lang w:val="uk-UA"/>
        </w:rPr>
        <w:t xml:space="preserve">едійсним як оспорюваного правочину в разі звернення до суду з відповідним позовом. 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Отже, існує неоднакове застосування судом касаційної інстанції однієї й тієї самої норми матеріального права, а саме частини першої статті 259 ЦК України.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Заслухавши суддю-</w:t>
      </w:r>
      <w:r>
        <w:rPr>
          <w:sz w:val="28"/>
          <w:lang w:val="uk-UA"/>
        </w:rPr>
        <w:t>доповідача, дослідивши доводи заявника, Судова палата у цивільних справах Верховного Суду України вважає, що заява підлягає частковому задоволенню з таких підстав.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Судами у справі, яка переглядається, установлено, що 14 вересня                 2006 року мі</w:t>
      </w:r>
      <w:r>
        <w:rPr>
          <w:sz w:val="28"/>
          <w:lang w:val="uk-UA"/>
        </w:rPr>
        <w:t xml:space="preserve">ж ПАТ КБ “ПриватБанк” і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 xml:space="preserve">укладено договір шляхом підписання заяви позичальника, в якій указано, що вона разом з Умовами надання споживчого кредиту фізичним особам, тарифами складає між ПАТ КБ “ПриватБанк” та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кредитно-заставний договір.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Відпо</w:t>
      </w:r>
      <w:r>
        <w:rPr>
          <w:sz w:val="28"/>
          <w:lang w:val="uk-UA"/>
        </w:rPr>
        <w:t xml:space="preserve">відно до умов договору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отримав кредит у розмірі                        2 389 грн 40 коп. зі сплатою процентів за користування кредитом на строк               24 місяці.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lastRenderedPageBreak/>
        <w:t>Пунктом 5.5 Умов надання споживчого кредиту фізичним особам («Розстрочка») (Ста</w:t>
      </w:r>
      <w:r>
        <w:rPr>
          <w:sz w:val="28"/>
          <w:lang w:val="uk-UA"/>
        </w:rPr>
        <w:t>ндарт) передбачено, що терміни позовної давності до вимог про стягнення кредиту, процентів за користування ним, винагороди, неустойки – пені, штрафів за договором установлені сторонами тривалістю в п’ять років.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не виконав своїх зобов'язань за вказа</w:t>
      </w:r>
      <w:r>
        <w:rPr>
          <w:sz w:val="28"/>
          <w:lang w:val="uk-UA"/>
        </w:rPr>
        <w:t>ним договором, унаслідок чого в нього перед ПАТ КБ “ПриватБанк” виникла заборгованість.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Вирішуючи питання про усунення розбіжностей у застосуванні судами касаційної інстанції норми матеріального права, Судова палата у цивільних справах Верховного Суду Укра</w:t>
      </w:r>
      <w:r>
        <w:rPr>
          <w:sz w:val="28"/>
          <w:lang w:val="uk-UA"/>
        </w:rPr>
        <w:t>їни виходить із такого.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Згідно зі статтями 526, 530, 610, частиною першою статті 612 ЦК України зобов’язання повинні виконуватись належним чином, у встановлений термін, відповідно до умов договору та вимог чинного законодавства. Порушенням зобов’язання є й</w:t>
      </w:r>
      <w:r>
        <w:rPr>
          <w:sz w:val="28"/>
          <w:lang w:val="uk-UA"/>
        </w:rPr>
        <w:t>ого невиконання або виконання з порушенням умов, визначених змістом зобов’язання (неналежне виконання).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256 ЦК України позовна давність – це строк, у межах якого особа може звернутися до суду з вимогою про захист свого цивільного права</w:t>
      </w:r>
      <w:r>
        <w:rPr>
          <w:sz w:val="28"/>
          <w:szCs w:val="28"/>
          <w:lang w:val="uk-UA"/>
        </w:rPr>
        <w:t xml:space="preserve"> або інтересу.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Сплив позовної давності, про застосування якої заявлено стороною у спорі, є підставою для відмови у позові (частина четверта статті 267 ЦК України).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Статтею 257 ЦК України встановлено загальну позовну давність тривалістю у три роки.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Цивільне</w:t>
      </w:r>
      <w:r>
        <w:rPr>
          <w:sz w:val="28"/>
          <w:szCs w:val="28"/>
          <w:lang w:val="uk-UA"/>
        </w:rPr>
        <w:t xml:space="preserve"> законодавство передбачає два види позовної давності: загальну і спеціальну.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Загальна позовна давність встановлюється тривалістю у три роки          (стаття 257 ЦК України).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окремих видів вимог законом установлена спеціальна позовна давність.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Зокрема, </w:t>
      </w:r>
      <w:r>
        <w:rPr>
          <w:sz w:val="28"/>
          <w:szCs w:val="28"/>
          <w:lang w:val="uk-UA"/>
        </w:rPr>
        <w:t>частина друга статті 258 ЦК України передбачає, що позовна давність в один рік застосовується до вимог про стягнення неустойки (штрафу, пені).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253 ЦК України перебіг строку починається з наступного дня після відповідної календарної дат</w:t>
      </w:r>
      <w:r>
        <w:rPr>
          <w:sz w:val="28"/>
          <w:szCs w:val="28"/>
          <w:lang w:val="uk-UA"/>
        </w:rPr>
        <w:t>и або настання події, з якою пов'язано його початок.</w:t>
      </w:r>
    </w:p>
    <w:p w:rsidR="00000000" w:rsidRDefault="00C31DEC">
      <w:pPr>
        <w:pStyle w:val="3"/>
        <w:spacing w:before="120" w:after="120" w:line="340" w:lineRule="exac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За загальним правилом перебіг загальної і спеціальної позовної давності починається з дня, коли особа довідалася або могла довідатися про порушення свого права або про особу, яка його порушила; за зобов'</w:t>
      </w:r>
      <w:r>
        <w:rPr>
          <w:rFonts w:ascii="Times New Roman" w:hAnsi="Times New Roman"/>
          <w:szCs w:val="28"/>
        </w:rPr>
        <w:t>язаннями з визначеним строком виконання перебіг позовної давності починається зі спливом строку виконання (частини перша та п’ята статті 261 ЦК України).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lastRenderedPageBreak/>
        <w:t>Позовна давність, встановлена законом, може бути збільшена за домовленістю сторін. Договір про збільше</w:t>
      </w:r>
      <w:r>
        <w:rPr>
          <w:sz w:val="28"/>
          <w:lang w:val="uk-UA"/>
        </w:rPr>
        <w:t>ння позовної давності укладається у письмовій формі (частина перша статті 259 ЦК України).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Згідно із частинами першою, другою статті 207 ЦК України правочин вважається таким, що вчинений у письмовій формі, якщо його зміст зафіксований в одному або кількох </w:t>
      </w:r>
      <w:r>
        <w:rPr>
          <w:sz w:val="28"/>
          <w:lang w:val="uk-UA"/>
        </w:rPr>
        <w:t>документах, у листах, телеграмах, якими обмінялися сторони. Правочин вважається таким, що вчинений у письмовій формі, якщо він підписаний його стороною (сторонами).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У справі, яка переглядається, суд касаційної інстанції не звернув уваги на те, що Умови над</w:t>
      </w:r>
      <w:r>
        <w:rPr>
          <w:sz w:val="28"/>
          <w:lang w:val="uk-UA"/>
        </w:rPr>
        <w:t xml:space="preserve">ання споживчого кредиту фізичним особам (“Розстрочка”) (Стандарт), пунктом 5.5 яких установлено позовну давність тривалістю в п’ять років, не містять підпису відповідача. При цьому </w:t>
      </w:r>
      <w:r>
        <w:rPr>
          <w:sz w:val="28"/>
          <w:szCs w:val="28"/>
          <w:lang w:val="uk-UA"/>
        </w:rPr>
        <w:t>суд не встановив наявність належних і допустимих доказів</w:t>
      </w:r>
      <w:r>
        <w:rPr>
          <w:sz w:val="28"/>
          <w:lang w:val="uk-UA"/>
        </w:rPr>
        <w:t>, які б підтверджув</w:t>
      </w:r>
      <w:r>
        <w:rPr>
          <w:sz w:val="28"/>
          <w:lang w:val="uk-UA"/>
        </w:rPr>
        <w:t xml:space="preserve">али, що саме ці Умови розумів відповідач, підписуючи заяву позичальника, а також те, що Умови містили </w:t>
      </w:r>
      <w:r>
        <w:rPr>
          <w:sz w:val="28"/>
          <w:szCs w:val="28"/>
          <w:lang w:val="uk-UA"/>
        </w:rPr>
        <w:t xml:space="preserve">збільшений строк позовної давності </w:t>
      </w:r>
      <w:r>
        <w:rPr>
          <w:sz w:val="28"/>
          <w:lang w:val="uk-UA"/>
        </w:rPr>
        <w:t xml:space="preserve">в момент підписання заяви позичальника, або в подальшому такі Умови, зокрема щодо збільшення строку позовної давності, </w:t>
      </w:r>
      <w:r>
        <w:rPr>
          <w:sz w:val="28"/>
          <w:lang w:val="uk-UA"/>
        </w:rPr>
        <w:t xml:space="preserve">не змінювались. Адже, зміст пункту 4.2 Умов надання споживчого кредиту фізичним особам, що зазначений у цих Умовах і в заяві позичальника від 14 вересня 2006 року, містить розбіжності. 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Крім того, у заяві позичальника від 14 вересня 2006 року домовленості </w:t>
      </w:r>
      <w:r>
        <w:rPr>
          <w:sz w:val="28"/>
          <w:lang w:val="uk-UA"/>
        </w:rPr>
        <w:t>сторін щодо збільшення строку позовної давності немає.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У зв’язку із цим доводи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про неознайомлення його з Умовами надання споживчого кредиту фізичним особам (“Розстрочка”) (Стандарт) не можна визнати необґрунтованими, такі Умови не можна вважати скл</w:t>
      </w:r>
      <w:r>
        <w:rPr>
          <w:sz w:val="28"/>
          <w:lang w:val="uk-UA"/>
        </w:rPr>
        <w:t>адовою частиною укладеного між сторонами договору від 14 вересня 2006 року.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Саме до цього зводяться правові висновки, що викладені в ухвалах колегії суддів судової палати у цивільних справах Вищого спеціалізованого суду України з розгляду цивільних і кримі</w:t>
      </w:r>
      <w:r>
        <w:rPr>
          <w:sz w:val="28"/>
          <w:lang w:val="uk-UA"/>
        </w:rPr>
        <w:t>нальних справ від 13 листопада 2013 року (№ 6-38753св13) та від 18 грудня 2013 року (№ 6-40942св13), які надані як приклади неоднакового застосування судом касаційної інстанції норми матеріального права в подібних правовідносинах.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Відсутність позову про ви</w:t>
      </w:r>
      <w:r>
        <w:rPr>
          <w:sz w:val="28"/>
          <w:lang w:val="uk-UA"/>
        </w:rPr>
        <w:t>знання кредитного договору недійсним як оспорюваного правочину не могла бути перешкодою для неврахування інтересів відповідача при вирішенні цього спору.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Ураховуючи наведене, Судова палата у цивільних справах Верховного Суду України встановила, що ухвала с</w:t>
      </w:r>
      <w:r>
        <w:rPr>
          <w:sz w:val="28"/>
          <w:lang w:val="uk-UA"/>
        </w:rPr>
        <w:t>уду касаційної інстанції у справі, яка переглядається з підстави, передбаченої пунктом 1 частини першої статті 355 ЦПК України, – неоднакового застосування судом касаційної інстанції однієї й тієї самої норми матеріального права, що потягло ухвалення різни</w:t>
      </w:r>
      <w:r>
        <w:rPr>
          <w:sz w:val="28"/>
          <w:lang w:val="uk-UA"/>
        </w:rPr>
        <w:t>х за змістом судових рішень у подібних правовідносинах, є незаконною.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За таких обставин відповідно до пункту 1 частини першої статті 355 і частин першої та другої статті 360-4 ЦПК України ухвала колегії суддів судової </w:t>
      </w:r>
      <w:r>
        <w:rPr>
          <w:sz w:val="28"/>
          <w:lang w:val="uk-UA"/>
        </w:rPr>
        <w:lastRenderedPageBreak/>
        <w:t>палати у цивільних справах Вищого спец</w:t>
      </w:r>
      <w:r>
        <w:rPr>
          <w:sz w:val="28"/>
          <w:lang w:val="uk-UA"/>
        </w:rPr>
        <w:t>іалізованого суду України з розгляду цивільних і кримінальних справ від 17 вересня 2014 року підлягає скасуванню з направленням справи на новий розгляд до суду касаційної інстанції.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Керуючись пунктом 1 частини першої статті 355, пунктом 1 частини першої ст</w:t>
      </w:r>
      <w:r>
        <w:rPr>
          <w:sz w:val="28"/>
          <w:lang w:val="uk-UA"/>
        </w:rPr>
        <w:t xml:space="preserve">атті 360-3, частинами першою та другою статті 360-4 ЦПК України, Судова палата у цивільних справах Верховного Суду України  </w:t>
      </w:r>
    </w:p>
    <w:p w:rsidR="00000000" w:rsidRDefault="00C31DEC">
      <w:pPr>
        <w:pStyle w:val="20"/>
        <w:spacing w:line="340" w:lineRule="exact"/>
        <w:ind w:firstLine="708"/>
        <w:jc w:val="center"/>
        <w:rPr>
          <w:b/>
          <w:bCs/>
          <w:i/>
          <w:iCs/>
          <w:szCs w:val="28"/>
          <w:lang w:val="uk-UA"/>
        </w:rPr>
      </w:pPr>
    </w:p>
    <w:p w:rsidR="00000000" w:rsidRDefault="00C31DEC">
      <w:pPr>
        <w:pStyle w:val="20"/>
        <w:spacing w:line="340" w:lineRule="exact"/>
        <w:ind w:firstLine="708"/>
        <w:jc w:val="center"/>
        <w:rPr>
          <w:b/>
          <w:bCs/>
          <w:i/>
          <w:iCs/>
          <w:szCs w:val="28"/>
          <w:lang w:val="uk-UA"/>
        </w:rPr>
      </w:pPr>
      <w:r>
        <w:rPr>
          <w:b/>
          <w:bCs/>
          <w:i/>
          <w:iCs/>
          <w:szCs w:val="28"/>
          <w:lang w:val="uk-UA"/>
        </w:rPr>
        <w:t>п о с т а н о в и л а:</w:t>
      </w:r>
    </w:p>
    <w:p w:rsidR="00000000" w:rsidRDefault="00C31DEC">
      <w:pPr>
        <w:pStyle w:val="20"/>
        <w:spacing w:line="340" w:lineRule="exact"/>
        <w:ind w:firstLine="708"/>
        <w:jc w:val="center"/>
        <w:rPr>
          <w:b/>
          <w:bCs/>
          <w:i/>
          <w:iCs/>
          <w:szCs w:val="28"/>
          <w:lang w:val="uk-UA"/>
        </w:rPr>
      </w:pPr>
    </w:p>
    <w:p w:rsidR="00000000" w:rsidRDefault="00C31DEC">
      <w:pPr>
        <w:spacing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Заяву </w:t>
      </w:r>
      <w:r>
        <w:rPr>
          <w:sz w:val="28"/>
          <w:szCs w:val="28"/>
          <w:lang w:val="uk-UA"/>
        </w:rPr>
        <w:t xml:space="preserve">ОСОБА_1 </w:t>
      </w:r>
      <w:r>
        <w:rPr>
          <w:sz w:val="28"/>
          <w:lang w:val="uk-UA"/>
        </w:rPr>
        <w:t>задовольнити частково.</w:t>
      </w:r>
    </w:p>
    <w:p w:rsidR="00000000" w:rsidRDefault="00C31DEC">
      <w:pPr>
        <w:spacing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Ухвалу колегії суддів судової палати у цивільних справах Вищого спеці</w:t>
      </w:r>
      <w:r>
        <w:rPr>
          <w:sz w:val="28"/>
          <w:lang w:val="uk-UA"/>
        </w:rPr>
        <w:t>алізованого суду України з розгляду цивільних і кримінальних справ від         17 вересня 2014 року скасувати, справу направити на новий розгляд до суду касаційної інстанції.</w:t>
      </w:r>
    </w:p>
    <w:p w:rsidR="00000000" w:rsidRDefault="00C31DEC">
      <w:pPr>
        <w:spacing w:before="120" w:line="340" w:lineRule="exact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Постанова Верховного Суду України є остаточною і може бути оскаржена тільки на пі</w:t>
      </w:r>
      <w:r>
        <w:rPr>
          <w:sz w:val="28"/>
          <w:szCs w:val="28"/>
          <w:lang w:val="uk-UA"/>
        </w:rPr>
        <w:t>дставі, встановленій пунктом 2 частини першої статті 355 Цивільного процесуального кодексу України.</w:t>
      </w:r>
    </w:p>
    <w:p w:rsidR="00000000" w:rsidRDefault="00C31DEC">
      <w:pPr>
        <w:pStyle w:val="20"/>
        <w:spacing w:line="340" w:lineRule="exact"/>
        <w:ind w:firstLine="708"/>
        <w:jc w:val="center"/>
        <w:rPr>
          <w:b/>
          <w:bCs/>
          <w:i/>
          <w:iCs/>
          <w:szCs w:val="28"/>
          <w:lang w:val="uk-UA"/>
        </w:rPr>
      </w:pPr>
    </w:p>
    <w:p w:rsidR="00000000" w:rsidRDefault="00C31DEC">
      <w:pPr>
        <w:spacing w:before="120" w:line="340" w:lineRule="exact"/>
        <w:ind w:firstLine="709"/>
        <w:jc w:val="both"/>
        <w:rPr>
          <w:sz w:val="28"/>
          <w:szCs w:val="28"/>
          <w:lang w:val="uk-UA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867"/>
        <w:gridCol w:w="2253"/>
        <w:gridCol w:w="23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867" w:type="dxa"/>
          </w:tcPr>
          <w:p w:rsidR="00000000" w:rsidRDefault="00C31DEC">
            <w:pPr>
              <w:pStyle w:val="1"/>
              <w:spacing w:line="340" w:lineRule="exact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Головуючий 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  <w:p w:rsidR="00000000" w:rsidRDefault="00C31DEC">
            <w:pPr>
              <w:pStyle w:val="1"/>
              <w:spacing w:line="340" w:lineRule="exac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Судді Верховного Суду України:</w:t>
            </w:r>
          </w:p>
        </w:tc>
        <w:tc>
          <w:tcPr>
            <w:tcW w:w="2253" w:type="dxa"/>
          </w:tcPr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А.Г. Ярема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k-UA"/>
              </w:rPr>
              <w:t>Л.І. Григор’єва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lang w:val="uk-UA"/>
              </w:rPr>
              <w:t xml:space="preserve">В.І. Гуменюк  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lang w:val="uk-UA"/>
              </w:rPr>
              <w:t>Н.П. Лященко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lang w:val="uk-UA"/>
              </w:rPr>
              <w:t>Л.І. Охрімчук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</w:p>
          <w:p w:rsidR="00000000" w:rsidRDefault="00C31DEC">
            <w:pPr>
              <w:pStyle w:val="2"/>
              <w:spacing w:line="340" w:lineRule="exact"/>
              <w:jc w:val="both"/>
              <w:rPr>
                <w:b w:val="0"/>
                <w:bCs w:val="0"/>
                <w:i/>
                <w:iCs/>
                <w:sz w:val="28"/>
                <w:szCs w:val="28"/>
              </w:rPr>
            </w:pPr>
            <w:r>
              <w:rPr>
                <w:bCs w:val="0"/>
                <w:i/>
                <w:iCs/>
                <w:sz w:val="28"/>
              </w:rPr>
              <w:t>Ю.Л. Сенін</w:t>
            </w:r>
            <w:r>
              <w:rPr>
                <w:b w:val="0"/>
                <w:bCs w:val="0"/>
                <w:i/>
                <w:iCs/>
                <w:sz w:val="28"/>
                <w:szCs w:val="28"/>
              </w:rPr>
              <w:t xml:space="preserve"> 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lang w:val="uk-UA"/>
              </w:rPr>
            </w:pPr>
            <w:r>
              <w:rPr>
                <w:b/>
                <w:bCs/>
                <w:i/>
                <w:iCs/>
                <w:sz w:val="28"/>
                <w:lang w:val="uk-UA"/>
              </w:rPr>
              <w:t>В.М. Сімоненко</w:t>
            </w:r>
          </w:p>
          <w:p w:rsidR="00000000" w:rsidRDefault="00C31DEC">
            <w:pPr>
              <w:spacing w:line="340" w:lineRule="exact"/>
              <w:rPr>
                <w:b/>
                <w:bCs/>
                <w:i/>
                <w:iCs/>
                <w:sz w:val="28"/>
                <w:szCs w:val="28"/>
                <w:lang w:val="uk-UA"/>
              </w:rPr>
            </w:pPr>
          </w:p>
        </w:tc>
        <w:tc>
          <w:tcPr>
            <w:tcW w:w="236" w:type="dxa"/>
          </w:tcPr>
          <w:p w:rsidR="00000000" w:rsidRDefault="00C31DEC">
            <w:pPr>
              <w:spacing w:line="340" w:lineRule="exact"/>
              <w:rPr>
                <w:sz w:val="28"/>
                <w:szCs w:val="28"/>
                <w:lang w:val="uk-UA"/>
              </w:rPr>
            </w:pPr>
          </w:p>
        </w:tc>
      </w:tr>
    </w:tbl>
    <w:p w:rsidR="00000000" w:rsidRDefault="00C31DEC">
      <w:pPr>
        <w:spacing w:line="340" w:lineRule="exact"/>
        <w:jc w:val="center"/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rPr>
          <w:lang w:val="uk-UA"/>
        </w:rPr>
      </w:pPr>
    </w:p>
    <w:p w:rsidR="00000000" w:rsidRDefault="00C31DEC">
      <w:pPr>
        <w:spacing w:line="320" w:lineRule="exact"/>
        <w:rPr>
          <w:b/>
          <w:bCs/>
          <w:sz w:val="28"/>
          <w:lang w:val="uk-UA"/>
        </w:rPr>
      </w:pPr>
    </w:p>
    <w:p w:rsidR="00000000" w:rsidRDefault="00C31DEC">
      <w:pPr>
        <w:spacing w:line="320" w:lineRule="exact"/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Правова позиція у справі №6-16цс15</w:t>
      </w:r>
    </w:p>
    <w:p w:rsidR="00000000" w:rsidRDefault="00C31DEC">
      <w:pPr>
        <w:spacing w:before="120" w:after="120" w:line="320" w:lineRule="exact"/>
        <w:ind w:firstLine="720"/>
        <w:jc w:val="both"/>
        <w:rPr>
          <w:sz w:val="28"/>
          <w:szCs w:val="28"/>
          <w:lang w:val="uk-UA"/>
        </w:rPr>
      </w:pP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Позовна давність, встановлена законом, може бути збільшена за домовленістю сторін. Договір про збільшення позовної давності укладається у письмовій формі (частина перша статті 259 ЦК України).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Згідно із частинами </w:t>
      </w:r>
      <w:r>
        <w:rPr>
          <w:sz w:val="28"/>
          <w:lang w:val="uk-UA"/>
        </w:rPr>
        <w:t xml:space="preserve">першою, другою статті 207 ЦК України правочин вважається таким, що вчинений у письмовій формі, якщо його зміст зафіксований в одному або кількох документах, у листах, телеграмах, якими обмінялися сторони. Правочин вважається таким, що вчинений у письмовій </w:t>
      </w:r>
      <w:r>
        <w:rPr>
          <w:sz w:val="28"/>
          <w:lang w:val="uk-UA"/>
        </w:rPr>
        <w:t>формі, якщо він підписаний його стороною (сторонами).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szCs w:val="28"/>
        </w:rPr>
        <w:t>Виходячи з правового аналізу</w:t>
      </w:r>
      <w:r>
        <w:rPr>
          <w:sz w:val="28"/>
          <w:szCs w:val="28"/>
          <w:lang w:val="uk-UA"/>
        </w:rPr>
        <w:t xml:space="preserve"> вказаних норм </w:t>
      </w:r>
      <w:r>
        <w:rPr>
          <w:sz w:val="28"/>
          <w:lang w:val="uk-UA"/>
        </w:rPr>
        <w:t>Умови надання споживчого кредиту фізичним особам (“Розстрочка”) (Стандарт), пунктом 5.5 яких установлено позовну давність тривалістю в п’ять років, не можна вв</w:t>
      </w:r>
      <w:r>
        <w:rPr>
          <w:sz w:val="28"/>
          <w:lang w:val="uk-UA"/>
        </w:rPr>
        <w:t xml:space="preserve">ажати складовою частиною укладеного між сторонами кредитного договору, якщо такі Умови не містять </w:t>
      </w:r>
      <w:proofErr w:type="gramStart"/>
      <w:r>
        <w:rPr>
          <w:sz w:val="28"/>
          <w:lang w:val="uk-UA"/>
        </w:rPr>
        <w:t>п</w:t>
      </w:r>
      <w:proofErr w:type="gramEnd"/>
      <w:r>
        <w:rPr>
          <w:sz w:val="28"/>
          <w:lang w:val="uk-UA"/>
        </w:rPr>
        <w:t xml:space="preserve">ідпису позичальника; </w:t>
      </w:r>
      <w:r>
        <w:rPr>
          <w:sz w:val="28"/>
          <w:szCs w:val="28"/>
          <w:lang w:val="uk-UA"/>
        </w:rPr>
        <w:t>не встановлено наявність належних і допустимих доказів</w:t>
      </w:r>
      <w:r>
        <w:rPr>
          <w:sz w:val="28"/>
          <w:lang w:val="uk-UA"/>
        </w:rPr>
        <w:t>, які б підтверджували, що саме ці Умови розумів позичальник, підписуючи заяву поз</w:t>
      </w:r>
      <w:r>
        <w:rPr>
          <w:sz w:val="28"/>
          <w:lang w:val="uk-UA"/>
        </w:rPr>
        <w:t xml:space="preserve">ичальника, а також те, що Умови містили </w:t>
      </w:r>
      <w:r>
        <w:rPr>
          <w:sz w:val="28"/>
          <w:szCs w:val="28"/>
          <w:lang w:val="uk-UA"/>
        </w:rPr>
        <w:t xml:space="preserve">збільшений строк позовної давності </w:t>
      </w:r>
      <w:r>
        <w:rPr>
          <w:sz w:val="28"/>
          <w:lang w:val="uk-UA"/>
        </w:rPr>
        <w:t>в момент підписання заяви позичальника, або в подальшому такі Умови, зокрема щодо збільшення строку позовної давності, не змінювались. Адже у цій справі зміст пункту 4.2 Умов наданн</w:t>
      </w:r>
      <w:r>
        <w:rPr>
          <w:sz w:val="28"/>
          <w:lang w:val="uk-UA"/>
        </w:rPr>
        <w:t xml:space="preserve">я споживчого кредиту фізичним особам, що зазначений у цих Умовах і в заяві позичальника, містить розбіжності. 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Крім того, у заяві позичальника домовленості сторін щодо збільшення строку позовної давності немає.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У зв’язку із цим доводи позичальника про неоз</w:t>
      </w:r>
      <w:r>
        <w:rPr>
          <w:sz w:val="28"/>
          <w:lang w:val="uk-UA"/>
        </w:rPr>
        <w:t>найомлення його з Умовами надання споживчого кредиту фізичним особам (“Розстрочка”) (Стандарт) не можна визнавати необґрунтованими.</w:t>
      </w:r>
    </w:p>
    <w:p w:rsidR="00000000" w:rsidRDefault="00C31DEC">
      <w:pPr>
        <w:spacing w:before="120" w:after="120" w:line="340" w:lineRule="exact"/>
        <w:ind w:firstLine="720"/>
        <w:jc w:val="both"/>
        <w:rPr>
          <w:sz w:val="28"/>
          <w:lang w:val="uk-UA"/>
        </w:rPr>
      </w:pPr>
      <w:r>
        <w:rPr>
          <w:sz w:val="28"/>
          <w:lang w:val="uk-UA"/>
        </w:rPr>
        <w:t>Відсутність позову про визнання кредитного договору недійсним як оспорюваного правочину не може бути перешкодою для неврахув</w:t>
      </w:r>
      <w:r>
        <w:rPr>
          <w:sz w:val="28"/>
          <w:lang w:val="uk-UA"/>
        </w:rPr>
        <w:t xml:space="preserve">ання інтересів позичальника при вирішенні справи за позовом банку до позичальника про стягнення заборгованості за кредитним договором. </w:t>
      </w:r>
    </w:p>
    <w:p w:rsidR="00000000" w:rsidRDefault="00C31DEC">
      <w:pPr>
        <w:spacing w:before="120" w:after="120" w:line="320" w:lineRule="exact"/>
        <w:ind w:firstLine="709"/>
        <w:jc w:val="both"/>
        <w:rPr>
          <w:sz w:val="28"/>
          <w:szCs w:val="28"/>
          <w:lang w:val="uk-UA"/>
        </w:rPr>
      </w:pPr>
    </w:p>
    <w:p w:rsidR="00000000" w:rsidRDefault="00C31DEC">
      <w:pPr>
        <w:spacing w:before="120" w:after="120" w:line="320" w:lineRule="exact"/>
        <w:ind w:firstLine="709"/>
        <w:jc w:val="both"/>
        <w:rPr>
          <w:sz w:val="28"/>
          <w:szCs w:val="28"/>
          <w:lang w:val="uk-UA"/>
        </w:rPr>
      </w:pPr>
    </w:p>
    <w:p w:rsidR="00000000" w:rsidRDefault="00C31DEC">
      <w:pPr>
        <w:spacing w:before="120" w:after="120" w:line="320" w:lineRule="exact"/>
        <w:ind w:firstLine="709"/>
        <w:jc w:val="both"/>
        <w:rPr>
          <w:sz w:val="28"/>
          <w:szCs w:val="28"/>
          <w:lang w:val="uk-UA"/>
        </w:rPr>
      </w:pPr>
    </w:p>
    <w:p w:rsidR="00000000" w:rsidRDefault="00C31DEC">
      <w:pPr>
        <w:spacing w:before="120" w:after="120" w:line="320" w:lineRule="exact"/>
        <w:ind w:firstLine="709"/>
        <w:jc w:val="both"/>
        <w:rPr>
          <w:sz w:val="28"/>
          <w:szCs w:val="28"/>
          <w:lang w:val="uk-UA"/>
        </w:rPr>
      </w:pPr>
    </w:p>
    <w:tbl>
      <w:tblPr>
        <w:tblW w:w="9498" w:type="dxa"/>
        <w:tblInd w:w="108" w:type="dxa"/>
        <w:tblBorders>
          <w:top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67"/>
        <w:gridCol w:w="1203"/>
        <w:gridCol w:w="3828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4467" w:type="dxa"/>
          </w:tcPr>
          <w:p w:rsidR="00000000" w:rsidRDefault="00C31DEC">
            <w:pPr>
              <w:pStyle w:val="a4"/>
              <w:rPr>
                <w:rFonts w:ascii="TimesET" w:hAnsi="TimesET"/>
                <w:color w:val="808080"/>
                <w:sz w:val="16"/>
              </w:rPr>
            </w:pPr>
            <w:r>
              <w:rPr>
                <w:rFonts w:ascii="TimesET" w:hAnsi="TimesET"/>
                <w:sz w:val="16"/>
              </w:rPr>
              <w:t>Справа № 6-</w:t>
            </w:r>
            <w:r>
              <w:rPr>
                <w:rFonts w:ascii="Times New Roman" w:hAnsi="Times New Roman"/>
                <w:sz w:val="16"/>
              </w:rPr>
              <w:t>16цс15</w:t>
            </w:r>
          </w:p>
        </w:tc>
        <w:tc>
          <w:tcPr>
            <w:tcW w:w="5031" w:type="dxa"/>
            <w:gridSpan w:val="2"/>
          </w:tcPr>
          <w:p w:rsidR="00000000" w:rsidRDefault="00C31DEC">
            <w:pPr>
              <w:pStyle w:val="a4"/>
              <w:rPr>
                <w:rFonts w:ascii="TimesET" w:hAnsi="TimesET"/>
                <w:color w:val="808080"/>
                <w:sz w:val="16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3828" w:type="dxa"/>
        </w:trPr>
        <w:tc>
          <w:tcPr>
            <w:tcW w:w="5670" w:type="dxa"/>
            <w:gridSpan w:val="2"/>
            <w:tcBorders>
              <w:bottom w:val="nil"/>
              <w:right w:val="nil"/>
            </w:tcBorders>
          </w:tcPr>
          <w:p w:rsidR="00000000" w:rsidRDefault="00C31DEC">
            <w:pPr>
              <w:pStyle w:val="a4"/>
              <w:rPr>
                <w:rFonts w:ascii="Times New Roman" w:hAnsi="Times New Roman"/>
                <w:sz w:val="18"/>
              </w:rPr>
            </w:pPr>
            <w:r>
              <w:rPr>
                <w:rFonts w:ascii="TimesET" w:hAnsi="TimesET"/>
                <w:sz w:val="18"/>
              </w:rPr>
              <w:t xml:space="preserve">Головуючий у першій інстанції  </w:t>
            </w:r>
            <w:r>
              <w:t>Пушкарьова С.П.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gridAfter w:val="1"/>
          <w:wAfter w:w="3828" w:type="dxa"/>
        </w:trPr>
        <w:tc>
          <w:tcPr>
            <w:tcW w:w="5670" w:type="dxa"/>
            <w:gridSpan w:val="2"/>
            <w:tcBorders>
              <w:top w:val="nil"/>
              <w:right w:val="nil"/>
            </w:tcBorders>
          </w:tcPr>
          <w:p w:rsidR="00000000" w:rsidRDefault="00C31DEC">
            <w:pPr>
              <w:pStyle w:val="a4"/>
              <w:rPr>
                <w:rFonts w:ascii="TimesET" w:hAnsi="TimesET"/>
                <w:b/>
                <w:sz w:val="18"/>
              </w:rPr>
            </w:pPr>
            <w:r>
              <w:rPr>
                <w:rFonts w:ascii="TimesET" w:hAnsi="TimesET"/>
                <w:b/>
                <w:sz w:val="18"/>
              </w:rPr>
              <w:t xml:space="preserve">Доповідач   </w:t>
            </w:r>
            <w:r>
              <w:rPr>
                <w:rFonts w:ascii="Times New Roman" w:hAnsi="Times New Roman"/>
                <w:b/>
                <w:sz w:val="18"/>
              </w:rPr>
              <w:t>Ярема А.Г</w:t>
            </w:r>
            <w:r>
              <w:rPr>
                <w:rFonts w:ascii="TimesET" w:hAnsi="TimesET"/>
                <w:b/>
                <w:sz w:val="18"/>
              </w:rPr>
              <w:t>.</w:t>
            </w:r>
          </w:p>
        </w:tc>
      </w:tr>
    </w:tbl>
    <w:p w:rsidR="00000000" w:rsidRDefault="00C31DEC">
      <w:pPr>
        <w:spacing w:line="320" w:lineRule="exact"/>
      </w:pPr>
    </w:p>
    <w:p w:rsidR="00000000" w:rsidRDefault="00C31DEC"/>
    <w:sectPr w:rsidR="0000000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624" w:right="992" w:bottom="624" w:left="1134" w:header="397" w:footer="4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31DEC">
      <w:r>
        <w:separator/>
      </w:r>
    </w:p>
  </w:endnote>
  <w:endnote w:type="continuationSeparator" w:id="0">
    <w:p w:rsidR="00000000" w:rsidRDefault="00C31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 NR Cyr MT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C31DEC">
    <w:pPr>
      <w:pStyle w:val="a4"/>
      <w:rPr>
        <w:color w:val="808080"/>
        <w:sz w:val="16"/>
      </w:rPr>
    </w:pPr>
  </w:p>
  <w:p w:rsidR="00000000" w:rsidRDefault="00C31DE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98" w:type="dxa"/>
      <w:tblInd w:w="108" w:type="dxa"/>
      <w:tblBorders>
        <w:top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4467"/>
      <w:gridCol w:w="1203"/>
      <w:gridCol w:w="3828"/>
    </w:tblGrid>
    <w:tr w:rsidR="00000000">
      <w:tblPrEx>
        <w:tblCellMar>
          <w:top w:w="0" w:type="dxa"/>
          <w:bottom w:w="0" w:type="dxa"/>
        </w:tblCellMar>
      </w:tblPrEx>
      <w:trPr>
        <w:trHeight w:val="345"/>
      </w:trPr>
      <w:tc>
        <w:tcPr>
          <w:tcW w:w="4467" w:type="dxa"/>
        </w:tcPr>
        <w:p w:rsidR="00000000" w:rsidRDefault="00C31DEC">
          <w:pPr>
            <w:pStyle w:val="a4"/>
            <w:rPr>
              <w:rFonts w:ascii="TimesET" w:hAnsi="TimesET"/>
              <w:color w:val="808080"/>
              <w:sz w:val="16"/>
            </w:rPr>
          </w:pPr>
          <w:r>
            <w:rPr>
              <w:rFonts w:ascii="TimesET" w:hAnsi="TimesET"/>
              <w:sz w:val="16"/>
            </w:rPr>
            <w:t>Справа № 6-</w:t>
          </w:r>
          <w:r>
            <w:rPr>
              <w:rFonts w:ascii="Times New Roman" w:hAnsi="Times New Roman"/>
              <w:sz w:val="16"/>
            </w:rPr>
            <w:t>16цс15</w:t>
          </w:r>
        </w:p>
      </w:tc>
      <w:tc>
        <w:tcPr>
          <w:tcW w:w="5031" w:type="dxa"/>
          <w:gridSpan w:val="2"/>
        </w:tcPr>
        <w:p w:rsidR="00000000" w:rsidRDefault="00C31DEC">
          <w:pPr>
            <w:pStyle w:val="a4"/>
            <w:rPr>
              <w:rFonts w:ascii="TimesET" w:hAnsi="TimesET"/>
              <w:color w:val="808080"/>
              <w:sz w:val="16"/>
            </w:rPr>
          </w:pPr>
        </w:p>
      </w:tc>
    </w:tr>
    <w:tr w:rsidR="00000000">
      <w:tblPrEx>
        <w:tblCellMar>
          <w:top w:w="0" w:type="dxa"/>
          <w:bottom w:w="0" w:type="dxa"/>
        </w:tblCellMar>
      </w:tblPrEx>
      <w:trPr>
        <w:gridAfter w:val="1"/>
        <w:wAfter w:w="3828" w:type="dxa"/>
      </w:trPr>
      <w:tc>
        <w:tcPr>
          <w:tcW w:w="5670" w:type="dxa"/>
          <w:gridSpan w:val="2"/>
          <w:tcBorders>
            <w:bottom w:val="nil"/>
            <w:right w:val="nil"/>
          </w:tcBorders>
        </w:tcPr>
        <w:p w:rsidR="00000000" w:rsidRDefault="00C31DEC">
          <w:pPr>
            <w:pStyle w:val="a4"/>
            <w:rPr>
              <w:rFonts w:ascii="Times New Roman" w:hAnsi="Times New Roman"/>
              <w:sz w:val="18"/>
            </w:rPr>
          </w:pPr>
          <w:r>
            <w:rPr>
              <w:rFonts w:ascii="TimesET" w:hAnsi="TimesET"/>
              <w:sz w:val="18"/>
            </w:rPr>
            <w:t xml:space="preserve">Головуючий у першій інстанції  </w:t>
          </w:r>
          <w:r>
            <w:t>Пушкарьова С.П.</w:t>
          </w:r>
        </w:p>
      </w:tc>
    </w:tr>
    <w:tr w:rsidR="00000000">
      <w:tblPrEx>
        <w:tblCellMar>
          <w:top w:w="0" w:type="dxa"/>
          <w:bottom w:w="0" w:type="dxa"/>
        </w:tblCellMar>
      </w:tblPrEx>
      <w:trPr>
        <w:gridAfter w:val="1"/>
        <w:wAfter w:w="3828" w:type="dxa"/>
      </w:trPr>
      <w:tc>
        <w:tcPr>
          <w:tcW w:w="5670" w:type="dxa"/>
          <w:gridSpan w:val="2"/>
          <w:tcBorders>
            <w:top w:val="nil"/>
            <w:right w:val="nil"/>
          </w:tcBorders>
        </w:tcPr>
        <w:p w:rsidR="00000000" w:rsidRDefault="00C31DEC">
          <w:pPr>
            <w:pStyle w:val="a4"/>
            <w:rPr>
              <w:rFonts w:ascii="TimesET" w:hAnsi="TimesET"/>
              <w:b/>
              <w:sz w:val="18"/>
            </w:rPr>
          </w:pPr>
          <w:r>
            <w:rPr>
              <w:rFonts w:ascii="TimesET" w:hAnsi="TimesET"/>
              <w:b/>
              <w:sz w:val="18"/>
            </w:rPr>
            <w:t xml:space="preserve">Доповідач   </w:t>
          </w:r>
          <w:r>
            <w:rPr>
              <w:rFonts w:ascii="Times New Roman" w:hAnsi="Times New Roman"/>
              <w:b/>
              <w:sz w:val="18"/>
            </w:rPr>
            <w:t>Ярема А.Г</w:t>
          </w:r>
          <w:r>
            <w:rPr>
              <w:rFonts w:ascii="TimesET" w:hAnsi="TimesET"/>
              <w:b/>
              <w:sz w:val="18"/>
            </w:rPr>
            <w:t>.</w:t>
          </w:r>
        </w:p>
      </w:tc>
    </w:tr>
  </w:tbl>
  <w:p w:rsidR="00000000" w:rsidRDefault="00C31DE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31DEC">
      <w:r>
        <w:separator/>
      </w:r>
    </w:p>
  </w:footnote>
  <w:footnote w:type="continuationSeparator" w:id="0">
    <w:p w:rsidR="00000000" w:rsidRDefault="00C31D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C31DE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000000" w:rsidRDefault="00C31DEC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C31DE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000000" w:rsidRDefault="00C31DEC">
    <w:pPr>
      <w:pStyle w:val="a3"/>
      <w:framePr w:wrap="around" w:vAnchor="text" w:hAnchor="margin" w:xAlign="right" w:y="1"/>
      <w:rPr>
        <w:rStyle w:val="a5"/>
      </w:rPr>
    </w:pPr>
  </w:p>
  <w:p w:rsidR="00000000" w:rsidRDefault="00C31DEC">
    <w:pPr>
      <w:pStyle w:val="a3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C31DEC">
    <w:pPr>
      <w:pStyle w:val="a3"/>
      <w:jc w:val="center"/>
      <w:rPr>
        <w:rFonts w:ascii="TimesET" w:hAnsi="TimesET"/>
      </w:rPr>
    </w:pPr>
    <w:r>
      <w:rPr>
        <w:rFonts w:ascii="TimesET" w:hAnsi="TimesET"/>
      </w:rPr>
      <w:object w:dxaOrig="1200" w:dyaOrig="16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6pt;height:84.75pt" o:ole="">
          <v:imagedata r:id="rId1" o:title=""/>
        </v:shape>
        <o:OLEObject Type="Embed" ProgID="Word.Document.8" ShapeID="_x0000_i1025" DrawAspect="Content" ObjectID="_1634626721" r:id="rId2"/>
      </w:object>
    </w:r>
  </w:p>
  <w:p w:rsidR="00000000" w:rsidRDefault="00C31DEC">
    <w:pPr>
      <w:pStyle w:val="a3"/>
      <w:jc w:val="center"/>
      <w:rPr>
        <w:rFonts w:ascii="TimesET" w:hAnsi="TimesET"/>
      </w:rPr>
    </w:pPr>
  </w:p>
  <w:p w:rsidR="00000000" w:rsidRDefault="00C31DEC">
    <w:pPr>
      <w:pStyle w:val="a3"/>
      <w:jc w:val="center"/>
      <w:rPr>
        <w:rFonts w:ascii="TimesET" w:hAnsi="TimesET"/>
      </w:rPr>
    </w:pPr>
    <w:r>
      <w:rPr>
        <w:rFonts w:ascii="TimesET" w:hAnsi="TimesET"/>
        <w:noProof/>
      </w:rPr>
      <w:pict>
        <v:rect id="_x0000_s1025" style="position:absolute;left:0;text-align:left;margin-left:39.6pt;margin-top:1.65pt;width:350.7pt;height:26.15pt;z-index:251656704" o:allowincell="f" stroked="f">
          <v:textbox style="mso-next-textbox:#_x0000_s1025" inset="2pt,2pt,2pt,2pt">
            <w:txbxContent>
              <w:p w:rsidR="00000000" w:rsidRDefault="00C31DEC">
                <w:pPr>
                  <w:jc w:val="center"/>
                  <w:rPr>
                    <w:rFonts w:ascii="TimesET" w:hAnsi="TimesET"/>
                    <w:sz w:val="36"/>
                    <w:szCs w:val="36"/>
                  </w:rPr>
                </w:pPr>
                <w:r>
                  <w:rPr>
                    <w:rFonts w:ascii="TimesET" w:hAnsi="TimesET"/>
                    <w:sz w:val="28"/>
                  </w:rPr>
                  <w:t xml:space="preserve">            </w:t>
                </w:r>
                <w:r>
                  <w:rPr>
                    <w:rFonts w:ascii="TimesET" w:hAnsi="TimesET"/>
                    <w:b/>
                    <w:sz w:val="36"/>
                    <w:szCs w:val="36"/>
                  </w:rPr>
                  <w:t>ВЕРХОВНИЙ СУД УКРАЇНИ</w:t>
                </w:r>
              </w:p>
            </w:txbxContent>
          </v:textbox>
        </v:rect>
      </w:pict>
    </w:r>
  </w:p>
  <w:p w:rsidR="00000000" w:rsidRDefault="00C31DEC">
    <w:pPr>
      <w:pStyle w:val="a3"/>
      <w:jc w:val="center"/>
      <w:rPr>
        <w:rFonts w:ascii="TimesET" w:hAnsi="TimesET"/>
        <w:lang w:val="en-US"/>
      </w:rPr>
    </w:pPr>
  </w:p>
  <w:p w:rsidR="00000000" w:rsidRDefault="00C31DEC">
    <w:pPr>
      <w:pStyle w:val="a3"/>
      <w:jc w:val="center"/>
      <w:rPr>
        <w:rFonts w:ascii="Times New Roman" w:hAnsi="Times New Roman"/>
      </w:rPr>
    </w:pPr>
    <w:r>
      <w:rPr>
        <w:rFonts w:ascii="TimesET" w:hAnsi="TimesET"/>
        <w:noProof/>
      </w:rPr>
      <w:pict>
        <v:line id="_x0000_s1027" style="position:absolute;left:0;text-align:left;z-index:251658752" from="1.45pt,2.45pt" to="440.7pt,2.5pt" o:allowincell="f">
          <v:stroke startarrowwidth="narrow" startarrowlength="short" endarrowwidth="narrow" endarrowlength="short"/>
        </v:line>
      </w:pict>
    </w:r>
    <w:r>
      <w:rPr>
        <w:rFonts w:ascii="TimesET" w:hAnsi="TimesET"/>
        <w:noProof/>
      </w:rPr>
      <w:pict>
        <v:line id="_x0000_s1026" style="position:absolute;left:0;text-align:left;z-index:251657728" from="1.45pt,9.65pt" to="440.7pt,9.7pt" o:allowincell="f" strokeweight="2pt">
          <v:stroke startarrowwidth="narrow" startarrowlength="short" endarrowwidth="narrow" endarrowlength="short"/>
        </v:line>
      </w:pict>
    </w:r>
  </w:p>
  <w:p w:rsidR="00000000" w:rsidRDefault="00C31DEC">
    <w:pPr>
      <w:pStyle w:val="a3"/>
      <w:rPr>
        <w:rFonts w:ascii="Times New Roman" w:hAnsi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oNotTrackMoves/>
  <w:defaultTabStop w:val="708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1DEC"/>
    <w:rsid w:val="00C31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TimesET" w:hAnsi="TimesET"/>
      <w:szCs w:val="20"/>
      <w:lang w:val="uk-UA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z w:val="26"/>
      <w:szCs w:val="26"/>
      <w:lang w:val="uk-UA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703"/>
        <w:tab w:val="right" w:pos="9406"/>
      </w:tabs>
    </w:pPr>
    <w:rPr>
      <w:rFonts w:ascii="Times NR Cyr MT" w:hAnsi="Times NR Cyr MT"/>
      <w:sz w:val="20"/>
      <w:szCs w:val="20"/>
      <w:lang w:val="uk-UA"/>
    </w:rPr>
  </w:style>
  <w:style w:type="paragraph" w:styleId="a4">
    <w:name w:val="footer"/>
    <w:basedOn w:val="a"/>
    <w:semiHidden/>
    <w:pPr>
      <w:tabs>
        <w:tab w:val="center" w:pos="4703"/>
        <w:tab w:val="right" w:pos="9406"/>
      </w:tabs>
    </w:pPr>
    <w:rPr>
      <w:rFonts w:ascii="Times NR Cyr MT" w:hAnsi="Times NR Cyr MT"/>
      <w:sz w:val="20"/>
      <w:szCs w:val="20"/>
      <w:lang w:val="uk-UA"/>
    </w:rPr>
  </w:style>
  <w:style w:type="character" w:styleId="a5">
    <w:name w:val="page number"/>
    <w:basedOn w:val="a0"/>
    <w:semiHidden/>
  </w:style>
  <w:style w:type="paragraph" w:styleId="a6">
    <w:name w:val="Title"/>
    <w:basedOn w:val="a"/>
    <w:qFormat/>
    <w:pPr>
      <w:overflowPunct w:val="0"/>
      <w:autoSpaceDE w:val="0"/>
      <w:autoSpaceDN w:val="0"/>
      <w:adjustRightInd w:val="0"/>
      <w:spacing w:after="120"/>
      <w:jc w:val="center"/>
      <w:textAlignment w:val="baseline"/>
    </w:pPr>
    <w:rPr>
      <w:rFonts w:ascii="TimesET" w:hAnsi="TimesET"/>
      <w:b/>
      <w:caps/>
      <w:sz w:val="48"/>
      <w:szCs w:val="20"/>
      <w:lang w:val="uk-UA"/>
    </w:rPr>
  </w:style>
  <w:style w:type="paragraph" w:styleId="20">
    <w:name w:val="Body Text 2"/>
    <w:basedOn w:val="a"/>
    <w:semiHidden/>
    <w:pPr>
      <w:jc w:val="both"/>
    </w:pPr>
    <w:rPr>
      <w:sz w:val="28"/>
    </w:rPr>
  </w:style>
  <w:style w:type="paragraph" w:styleId="21">
    <w:name w:val="Body Text Indent 2"/>
    <w:basedOn w:val="a"/>
    <w:semiHidden/>
    <w:pPr>
      <w:spacing w:after="120" w:line="480" w:lineRule="auto"/>
      <w:ind w:left="283"/>
    </w:pPr>
    <w:rPr>
      <w:rFonts w:ascii="Times NR Cyr MT" w:hAnsi="Times NR Cyr MT"/>
      <w:sz w:val="20"/>
      <w:szCs w:val="20"/>
      <w:lang w:val="uk-UA"/>
    </w:rPr>
  </w:style>
  <w:style w:type="paragraph" w:styleId="3">
    <w:name w:val="Body Text Indent 3"/>
    <w:basedOn w:val="a"/>
    <w:semiHidden/>
    <w:pPr>
      <w:ind w:firstLine="720"/>
      <w:jc w:val="both"/>
    </w:pPr>
    <w:rPr>
      <w:rFonts w:ascii="Times NR Cyr MT" w:hAnsi="Times NR Cyr MT"/>
      <w:sz w:val="28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search.ligazakon.ua/l_doc2.nsf/link1/an_843300/ed_2014_07_24/pravo1/T030435.html?pravo=1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earch.ligazakon.ua/l_doc2.nsf/link1/an_843298/ed_2014_02_11/pravo1/T030435.html?pravo=1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10095</Words>
  <Characters>5755</Characters>
  <Application>Microsoft Office Word</Application>
  <DocSecurity>0</DocSecurity>
  <Lines>47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О С Т А Н О В А</vt:lpstr>
    </vt:vector>
  </TitlesOfParts>
  <Company>SCU</Company>
  <LinksUpToDate>false</LinksUpToDate>
  <CharactersWithSpaces>15819</CharactersWithSpaces>
  <SharedDoc>false</SharedDoc>
  <HLinks>
    <vt:vector size="12" baseType="variant">
      <vt:variant>
        <vt:i4>2490396</vt:i4>
      </vt:variant>
      <vt:variant>
        <vt:i4>3</vt:i4>
      </vt:variant>
      <vt:variant>
        <vt:i4>0</vt:i4>
      </vt:variant>
      <vt:variant>
        <vt:i4>5</vt:i4>
      </vt:variant>
      <vt:variant>
        <vt:lpwstr>http://search.ligazakon.ua/l_doc2.nsf/link1/an_843300/ed_2014_07_24/pravo1/T030435.html?pravo=1</vt:lpwstr>
      </vt:variant>
      <vt:variant>
        <vt:lpwstr>843300</vt:lpwstr>
      </vt:variant>
      <vt:variant>
        <vt:i4>2097177</vt:i4>
      </vt:variant>
      <vt:variant>
        <vt:i4>0</vt:i4>
      </vt:variant>
      <vt:variant>
        <vt:i4>0</vt:i4>
      </vt:variant>
      <vt:variant>
        <vt:i4>5</vt:i4>
      </vt:variant>
      <vt:variant>
        <vt:lpwstr>http://search.ligazakon.ua/l_doc2.nsf/link1/an_843298/ed_2014_02_11/pravo1/T030435.html?pravo=1</vt:lpwstr>
      </vt:variant>
      <vt:variant>
        <vt:lpwstr>843298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А</dc:title>
  <dc:creator>Яворська</dc:creator>
  <cp:lastModifiedBy>Анна Юріївна Зайцева</cp:lastModifiedBy>
  <cp:revision>2</cp:revision>
  <dcterms:created xsi:type="dcterms:W3CDTF">2019-11-07T08:12:00Z</dcterms:created>
  <dcterms:modified xsi:type="dcterms:W3CDTF">2019-11-07T08:12:00Z</dcterms:modified>
</cp:coreProperties>
</file>