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C7F14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36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Arial CYR" w:hAnsi="Arial CYR" w:cs="Arial CYR"/>
          <w:noProof/>
          <w:sz w:val="20"/>
          <w:szCs w:val="20"/>
        </w:rPr>
        <w:drawing>
          <wp:inline distT="0" distB="0" distL="0" distR="0">
            <wp:extent cx="834390" cy="1075055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4390" cy="1075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A84752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000000" w:rsidRDefault="00A84752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000000" w:rsidRDefault="00A84752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000000" w:rsidRDefault="00A84752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  <w:lang w:val="ru-RU"/>
        </w:rPr>
      </w:pPr>
    </w:p>
    <w:p w:rsidR="00000000" w:rsidRDefault="00A84752">
      <w:pPr>
        <w:widowControl w:val="0"/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  <w:lang w:val="ru-RU"/>
        </w:rPr>
      </w:pPr>
    </w:p>
    <w:p w:rsidR="00000000" w:rsidRDefault="00A84752">
      <w:pPr>
        <w:widowControl w:val="0"/>
        <w:autoSpaceDE w:val="0"/>
        <w:autoSpaceDN w:val="0"/>
        <w:adjustRightInd w:val="0"/>
        <w:spacing w:after="120" w:line="216" w:lineRule="auto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П О С Т А Н О В А</w:t>
      </w:r>
    </w:p>
    <w:p w:rsidR="00000000" w:rsidRDefault="00A84752">
      <w:pPr>
        <w:widowControl w:val="0"/>
        <w:autoSpaceDE w:val="0"/>
        <w:autoSpaceDN w:val="0"/>
        <w:adjustRightInd w:val="0"/>
        <w:spacing w:after="120" w:line="216" w:lineRule="auto"/>
        <w:jc w:val="center"/>
        <w:rPr>
          <w:rFonts w:ascii="Times New Roman CYR" w:hAnsi="Times New Roman CYR" w:cs="Times New Roman CYR"/>
          <w:b/>
          <w:bCs/>
          <w:sz w:val="40"/>
          <w:szCs w:val="40"/>
        </w:rPr>
      </w:pPr>
      <w:r>
        <w:rPr>
          <w:rFonts w:ascii="Times New Roman CYR" w:hAnsi="Times New Roman CYR" w:cs="Times New Roman CYR"/>
          <w:b/>
          <w:bCs/>
          <w:sz w:val="40"/>
          <w:szCs w:val="40"/>
        </w:rPr>
        <w:t>ІМЕНЕМ   УКРАЇНИ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32"/>
          <w:szCs w:val="32"/>
        </w:rPr>
      </w:pPr>
    </w:p>
    <w:p w:rsidR="00000000" w:rsidRDefault="00A84752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lang w:val="ru-RU"/>
        </w:rPr>
        <w:t xml:space="preserve">7 </w:t>
      </w:r>
      <w:r>
        <w:rPr>
          <w:rFonts w:ascii="Times New Roman CYR" w:hAnsi="Times New Roman CYR" w:cs="Times New Roman CYR"/>
          <w:sz w:val="24"/>
          <w:szCs w:val="24"/>
        </w:rPr>
        <w:t xml:space="preserve">лютого 2012 року   </w:t>
      </w:r>
      <w:r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м. Киї</w:t>
      </w:r>
      <w:proofErr w:type="gramStart"/>
      <w:r>
        <w:rPr>
          <w:rFonts w:ascii="Times New Roman CYR" w:hAnsi="Times New Roman CYR" w:cs="Times New Roman CYR"/>
          <w:sz w:val="24"/>
          <w:szCs w:val="24"/>
        </w:rPr>
        <w:t>в</w:t>
      </w:r>
      <w:proofErr w:type="gramEnd"/>
    </w:p>
    <w:p w:rsidR="00000000" w:rsidRDefault="00A84752">
      <w:pPr>
        <w:keepNext/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ab/>
        <w:t>Колегія суддів Судової палати в адміністративних справах</w:t>
      </w:r>
      <w:r>
        <w:rPr>
          <w:rFonts w:ascii="Times New Roman CYR" w:hAnsi="Times New Roman CYR" w:cs="Times New Roman CYR"/>
          <w:b/>
          <w:bCs/>
          <w:sz w:val="24"/>
          <w:szCs w:val="24"/>
          <w:lang w:val="ru-RU"/>
        </w:rPr>
        <w:t xml:space="preserve"> 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t>В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t>ерховного Суду України у складі:</w:t>
      </w:r>
    </w:p>
    <w:tbl>
      <w:tblPr>
        <w:tblW w:w="0" w:type="auto"/>
        <w:tblInd w:w="108" w:type="dxa"/>
        <w:tblLayout w:type="fixed"/>
        <w:tblLook w:val="0000"/>
      </w:tblPr>
      <w:tblGrid>
        <w:gridCol w:w="1980"/>
        <w:gridCol w:w="792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головуючого</w:t>
            </w:r>
            <w:proofErr w:type="spellEnd"/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Кривенка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В.В.,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суддів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:</w:t>
            </w:r>
          </w:p>
        </w:tc>
        <w:tc>
          <w:tcPr>
            <w:tcW w:w="792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Гусака М.Б.,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Коротких</w:t>
            </w:r>
            <w:proofErr w:type="gram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О.А.,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Кривенди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О.В.,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Маринченка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В.Л.,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Панталієнка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П.В.,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Прокопенка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О.Б.,</w:t>
            </w: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Терлецького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О.О.,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Тітова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Ю.Г., –</w:t>
            </w:r>
          </w:p>
        </w:tc>
      </w:tr>
    </w:tbl>
    <w:p w:rsidR="00000000" w:rsidRDefault="00A84752">
      <w:pPr>
        <w:widowControl w:val="0"/>
        <w:autoSpaceDE w:val="0"/>
        <w:autoSpaceDN w:val="0"/>
        <w:adjustRightInd w:val="0"/>
        <w:spacing w:before="140"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розглянувши у порядку письмового провадження справу за поз</w:t>
      </w:r>
      <w:r>
        <w:rPr>
          <w:rFonts w:ascii="Times New Roman CYR" w:hAnsi="Times New Roman CYR" w:cs="Times New Roman CYR"/>
          <w:sz w:val="24"/>
          <w:szCs w:val="24"/>
        </w:rPr>
        <w:t xml:space="preserve">овом ОСОБА-1 до територіального управління Державної судової адміністрації України в Сумській області (далі – управління ДСА, ДСА відповідно) про стягнення коштів, </w:t>
      </w:r>
    </w:p>
    <w:p w:rsidR="00000000" w:rsidRDefault="00A84752">
      <w:pPr>
        <w:widowControl w:val="0"/>
        <w:tabs>
          <w:tab w:val="left" w:pos="4860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t>в с т а н о в и л а: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 б</w:t>
      </w:r>
      <w:r>
        <w:rPr>
          <w:rFonts w:ascii="Times New Roman CYR" w:hAnsi="Times New Roman CYR" w:cs="Times New Roman CYR"/>
          <w:sz w:val="24"/>
          <w:szCs w:val="24"/>
        </w:rPr>
        <w:t xml:space="preserve">ерезні 2007 року ОСОБА-1 звернулася до суду з позовом, в якому просила стягнути з управління ДСА на її користь 2 437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грн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66 коп. щомісячної премії за 2005–2006 роки, невиплачену у 2006 році надбавку за напруженість та складність роботи в сумі 2 966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грн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49 </w:t>
      </w:r>
      <w:r>
        <w:rPr>
          <w:rFonts w:ascii="Times New Roman CYR" w:hAnsi="Times New Roman CYR" w:cs="Times New Roman CYR"/>
          <w:sz w:val="24"/>
          <w:szCs w:val="24"/>
        </w:rPr>
        <w:t xml:space="preserve">коп., а також 63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грн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30 коп. невиплаченої у березні 2005 року премії до свята.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right="-2"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Конотопський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міськрайонний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суд Сумської області постановою від 19 березня                2008 року позов задовольнив. 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Харківський апеляційний адміністративний суд постановою ві</w:t>
      </w:r>
      <w:r>
        <w:rPr>
          <w:rFonts w:ascii="Times New Roman CYR" w:hAnsi="Times New Roman CYR" w:cs="Times New Roman CYR"/>
          <w:sz w:val="24"/>
          <w:szCs w:val="24"/>
        </w:rPr>
        <w:t>д 24 грудня 2008 року, залишеною без змін ухвалою Вищого адміністративного суду України від 24 березня                 2010 року, рішення суду першої інстанції скасував, у задоволенні позову відмовив.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У скарзі про перегляд судового рішення за винятковими о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бставинами з підстави, установленої пунктом 1 частини першої статті 237 Кодексу адміністративного судочинства України, </w:t>
      </w:r>
      <w:r>
        <w:rPr>
          <w:rFonts w:ascii="Times New Roman CYR" w:hAnsi="Times New Roman CYR" w:cs="Times New Roman CYR"/>
          <w:sz w:val="24"/>
          <w:szCs w:val="24"/>
        </w:rPr>
        <w:t>ОСОБА-1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просить скасувати </w:t>
      </w:r>
      <w:r>
        <w:rPr>
          <w:rFonts w:ascii="Times New Roman CYR" w:hAnsi="Times New Roman CYR" w:cs="Times New Roman CYR"/>
          <w:sz w:val="24"/>
          <w:szCs w:val="24"/>
        </w:rPr>
        <w:t>рішення касаційного і апеляційного судів та залишити в силі постанову суду першої інстанції. На обґрунтування с</w:t>
      </w:r>
      <w:r>
        <w:rPr>
          <w:rFonts w:ascii="Times New Roman CYR" w:hAnsi="Times New Roman CYR" w:cs="Times New Roman CYR"/>
          <w:sz w:val="24"/>
          <w:szCs w:val="24"/>
        </w:rPr>
        <w:t xml:space="preserve">карги додано ухвалу Вищого адміністративного суду України від 5 листопада 2009 року (К-14931/08) у справі за позовом ОСОБА-2 до управління ДСА про стягнення сум, в якій, на думку заявника, стаття 33 Закону України від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16 грудня 1993 року № 3723-XII </w:t>
      </w:r>
      <w:r>
        <w:rPr>
          <w:rFonts w:ascii="Times New Roman CYR" w:hAnsi="Times New Roman CYR" w:cs="Times New Roman CYR"/>
          <w:sz w:val="24"/>
          <w:szCs w:val="24"/>
        </w:rPr>
        <w:t>«Про де</w:t>
      </w:r>
      <w:r>
        <w:rPr>
          <w:rFonts w:ascii="Times New Roman CYR" w:hAnsi="Times New Roman CYR" w:cs="Times New Roman CYR"/>
          <w:sz w:val="24"/>
          <w:szCs w:val="24"/>
        </w:rPr>
        <w:t>ржавну службу» (далі – Закон № 3723-ХІІ) застосована касаційним судом по-іншому та правильно.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Так, у справі, яка розглядається, касаційний суд дійшов висновку про те, що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оскільки невиплата </w:t>
      </w:r>
      <w:r>
        <w:rPr>
          <w:rFonts w:ascii="Times New Roman CYR" w:hAnsi="Times New Roman CYR" w:cs="Times New Roman CYR"/>
          <w:sz w:val="24"/>
          <w:szCs w:val="24"/>
        </w:rPr>
        <w:t>ДСА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згаданих вище сум зумовлена нестачею </w:t>
      </w:r>
      <w:r>
        <w:rPr>
          <w:rFonts w:ascii="Times New Roman CYR" w:hAnsi="Times New Roman CYR" w:cs="Times New Roman CYR"/>
          <w:sz w:val="24"/>
          <w:szCs w:val="24"/>
        </w:rPr>
        <w:t>виділених з державного бюд</w:t>
      </w:r>
      <w:r>
        <w:rPr>
          <w:rFonts w:ascii="Times New Roman CYR" w:hAnsi="Times New Roman CYR" w:cs="Times New Roman CYR"/>
          <w:sz w:val="24"/>
          <w:szCs w:val="24"/>
        </w:rPr>
        <w:t>жету коштів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, то відповідач як головний розпорядник бюджетних коштів, передбачених на фінансове забезпечення діяльності судів загальної юрисдикції, діяв у межах своїх повноважень та відповідно до чинного законодавства.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lastRenderedPageBreak/>
        <w:t>Водночас у судовому рішенні, на яке по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силається</w:t>
      </w:r>
      <w:r>
        <w:rPr>
          <w:rFonts w:ascii="Times New Roman CYR" w:hAnsi="Times New Roman CYR" w:cs="Times New Roman CYR"/>
          <w:sz w:val="24"/>
          <w:szCs w:val="24"/>
        </w:rPr>
        <w:t xml:space="preserve"> ОСОБА-1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, обґрунтовуючи заяву, касаційний суд зазначив, що оскільки накази голови суду про встановлення відповідно до </w:t>
      </w:r>
      <w:r>
        <w:rPr>
          <w:rFonts w:ascii="Times New Roman CYR" w:hAnsi="Times New Roman CYR" w:cs="Times New Roman CYR"/>
          <w:sz w:val="24"/>
          <w:szCs w:val="24"/>
        </w:rPr>
        <w:t xml:space="preserve">Закону № 3723-ХІІ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щомісячних премій та надбавок оскаржені та скасовані не були, вони є обов’язковими для виконання. Невиплата</w:t>
      </w:r>
      <w:r>
        <w:rPr>
          <w:rFonts w:ascii="Times New Roman CYR" w:hAnsi="Times New Roman CYR" w:cs="Times New Roman CYR"/>
          <w:sz w:val="24"/>
          <w:szCs w:val="24"/>
        </w:rPr>
        <w:t xml:space="preserve"> упр</w:t>
      </w:r>
      <w:r>
        <w:rPr>
          <w:rFonts w:ascii="Times New Roman CYR" w:hAnsi="Times New Roman CYR" w:cs="Times New Roman CYR"/>
          <w:sz w:val="24"/>
          <w:szCs w:val="24"/>
        </w:rPr>
        <w:t>авлінням ДСА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позивачу </w:t>
      </w:r>
      <w:r>
        <w:rPr>
          <w:rFonts w:ascii="Times New Roman CYR" w:hAnsi="Times New Roman CYR" w:cs="Times New Roman CYR"/>
          <w:sz w:val="24"/>
          <w:szCs w:val="24"/>
        </w:rPr>
        <w:t xml:space="preserve">згаданих вище сум, з посиланням на нестачу бюджетних коштів, порушує право останнього на належне матеріальне забезпечення. 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Перевіривши наведені у скарзі доводи, Верховний Суд України дійшов висновку про наявність підстав для її задов</w:t>
      </w:r>
      <w:r>
        <w:rPr>
          <w:rFonts w:ascii="Times New Roman CYR" w:hAnsi="Times New Roman CYR" w:cs="Times New Roman CYR"/>
          <w:sz w:val="24"/>
          <w:szCs w:val="24"/>
        </w:rPr>
        <w:t>олення.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Суди встановили, що ОСОБА-1 є державним службовцем і працює у Конотопському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міськрайонному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суді Сумської області на посаді помічника судді.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Відповідно до наказів голови цього суду у 2005–2006 роках вона щомісячно нагороджувалася грошовою премією в </w:t>
      </w:r>
      <w:r>
        <w:rPr>
          <w:rFonts w:ascii="Times New Roman CYR" w:hAnsi="Times New Roman CYR" w:cs="Times New Roman CYR"/>
          <w:sz w:val="24"/>
          <w:szCs w:val="24"/>
        </w:rPr>
        <w:t>розмірі 25 відсотків середньомісячного заробітку,                 у березні 2005 року – премією до свята у розмірі 30 відсотків середньомісячного заробітку, також позивачці була встановлена надбавка за напруженість та складність роботи.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Зазначені накази бу</w:t>
      </w:r>
      <w:r>
        <w:rPr>
          <w:rFonts w:ascii="Times New Roman CYR" w:hAnsi="Times New Roman CYR" w:cs="Times New Roman CYR"/>
          <w:sz w:val="24"/>
          <w:szCs w:val="24"/>
        </w:rPr>
        <w:t>ли своєчасно направлені до управління ДСА, вони ніким не оскаржені та не скасовані, проте виплата премій та надбавки у повному обсязі відповідачем не проводилася.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 зв’язку з наведеним суд першої інстанції, керуючись статтею 22 Конституції України та статт</w:t>
      </w:r>
      <w:r>
        <w:rPr>
          <w:rFonts w:ascii="Times New Roman CYR" w:hAnsi="Times New Roman CYR" w:cs="Times New Roman CYR"/>
          <w:sz w:val="24"/>
          <w:szCs w:val="24"/>
        </w:rPr>
        <w:t xml:space="preserve">ею 33 Закону </w:t>
      </w:r>
      <w:r>
        <w:rPr>
          <w:rFonts w:ascii="Times New Roman CYR" w:hAnsi="Times New Roman CYR" w:cs="Times New Roman CYR"/>
          <w:color w:val="000000"/>
          <w:sz w:val="24"/>
          <w:szCs w:val="24"/>
          <w:lang w:val="ru-RU"/>
        </w:rPr>
        <w:t>№ 3723-XII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,</w:t>
      </w:r>
      <w:r>
        <w:rPr>
          <w:rFonts w:ascii="Times New Roman CYR" w:hAnsi="Times New Roman CYR" w:cs="Times New Roman CYR"/>
          <w:sz w:val="24"/>
          <w:szCs w:val="24"/>
        </w:rPr>
        <w:t xml:space="preserve"> позов задовольнив.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Скасовуючи постанову суду першої інстанції, апеляційний суд виходив із того,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що виплати, щодо яких пред’явлено позов, не відносяться до основних виплат по заробітній платі. Порядок виплати премій регулюється пост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ановою Кабінету Міністрів України від                  9 березня 2006 року № 268 «Про упорядкування структури та умов оплати праці працівників апарату органів виконавчої влади, органів прокуратури, судів та інших органів». Відповідно до пункту 2 цієї поста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нови керівники державних органів у межах затвердженого фонду оплати праці здійснюють преміювання працівників відповідно до їх особистого вкладу в загальні результати роботи, а також до державних і професійних свят та ювілейних дат у   2006 році в межах кош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тів, передбачених на преміювання у кошторисі відповідного органу та економії коштів на оплату праці.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Також суд послався на Бюджетний кодекс України, згідно з яким розпорядники коштів Державного бюджету України одержують бюджетні асигнування, що є підставою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для затвердження кошторисів відповідно до затвердженого бюджетного розпису, і беруть бюджетні зобов’язання та провадять видатки тільки в межах бюджетних асигнувань, встановлених кошторисами (стаття 51). 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Крім того, законами України від 23 грудня 2004 року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№ 2285-</w:t>
      </w:r>
      <w:r>
        <w:rPr>
          <w:rFonts w:ascii="Times New Roman CYR" w:hAnsi="Times New Roman CYR" w:cs="Times New Roman CYR"/>
          <w:color w:val="000000"/>
          <w:sz w:val="24"/>
          <w:szCs w:val="24"/>
          <w:lang w:val="ru-RU"/>
        </w:rPr>
        <w:t>IV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«Про Державний бюджет України на 2005 рік» та від 20 грудня 2005 року № 3235-IV «Про Державний бюджет України на 2006 рік» (статті 73, 75 відповідно) встановлено, що керівники бюджетних установ утримують чисельність працівників, військовослужбов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ців, осіб рядового і начальницького складу та здійснюють фактичні видатки на заробітну плату (грошове забезпечення), включаючи видатки на премії та інші види заохочень чи винагород, матеріальну допомогу, лише в межах фонду заробітної плати (грошового забез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печення), затвердженого для бюджетних установ у кошторисах або планах використання бюджетних коштів.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 огляду на наведене, суд апеляційної інстанції, з яким погодився касаційний суд, дійшов висновку, що у відповідача у зв’язку з нестачею бюджетних коштів н</w:t>
      </w:r>
      <w:r>
        <w:rPr>
          <w:rFonts w:ascii="Times New Roman CYR" w:hAnsi="Times New Roman CYR" w:cs="Times New Roman CYR"/>
          <w:sz w:val="24"/>
          <w:szCs w:val="24"/>
        </w:rPr>
        <w:t>е було можливості виплатити позивачу щомісячні премії та надбавку у 2005–2006 роках, тому в задоволенні позову слід відмовити.</w:t>
      </w:r>
    </w:p>
    <w:p w:rsidR="00000000" w:rsidRDefault="00A847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На думку колегії суддів Судової палати в адміністративних справах Верховного Суду України, такий висновок не ґрунтується на прави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льному застосуванні норм матеріального права.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Відповідно до частини 1 статті 33 Закону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№</w:t>
      </w:r>
      <w:r>
        <w:rPr>
          <w:rFonts w:ascii="Times New Roman CYR" w:hAnsi="Times New Roman CYR" w:cs="Times New Roman CYR"/>
          <w:color w:val="000000"/>
          <w:sz w:val="24"/>
          <w:szCs w:val="24"/>
          <w:lang w:val="ru-RU"/>
        </w:rPr>
        <w:t> 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3723-</w:t>
      </w:r>
      <w:r>
        <w:rPr>
          <w:rFonts w:ascii="Times New Roman CYR" w:hAnsi="Times New Roman CYR" w:cs="Times New Roman CYR"/>
          <w:color w:val="000000"/>
          <w:sz w:val="24"/>
          <w:szCs w:val="24"/>
          <w:lang w:val="ru-RU"/>
        </w:rPr>
        <w:t>XII</w:t>
      </w:r>
      <w:r>
        <w:rPr>
          <w:rFonts w:ascii="Times New Roman CYR" w:hAnsi="Times New Roman CYR" w:cs="Times New Roman CYR"/>
          <w:sz w:val="24"/>
          <w:szCs w:val="24"/>
        </w:rPr>
        <w:t xml:space="preserve"> о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плата праці державних службовців повинна забезпечувати достатні матеріальні умови для незалежного виконання службових обов’язків, сприяти укомплектуванню ап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арату державних органів компетентними і досвідченими кадрами, стимулювати їх сумлінну та ініціативну працю. 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Заробітна плата державних службовців складається з посадових окладів, премій, доплати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lastRenderedPageBreak/>
        <w:t>за ранги, надбавки за вислугу років на державній службі та ін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ших надбавок. Скорочення бюджетних асигнувань не може бути підставою для зменшення посадових окладів, надбавок до них та фінансування інших, передбачених цим Законом, гарантій, пільг і компенсацій (частини друга, дев’ята статті 33 Закону №  3723-XII). 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Б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юджетним кодексом України регулюються відносини, що виникають у процесі складання, розгляду, затвердження, виконання бюджетів та розгляду звітів про їх виконання, а також контролю за виконанням Державного бюджету України та місцевих бюджетів. Бюджет </w:t>
      </w:r>
      <w:r>
        <w:rPr>
          <w:rFonts w:ascii="Times New Roman CYR" w:hAnsi="Times New Roman CYR" w:cs="Times New Roman CYR"/>
          <w:sz w:val="24"/>
          <w:szCs w:val="24"/>
        </w:rPr>
        <w:t>–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це п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лан формування та використання фінансових ресурсів для забезпечення завдань і функцій, які здійснюються органами державної влади, органами влади Автономної Республіки Крим та органами місцевого самоврядування протягом бюджетного періоду. 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Однією з конститу</w:t>
      </w:r>
      <w:r>
        <w:rPr>
          <w:rFonts w:ascii="Times New Roman CYR" w:hAnsi="Times New Roman CYR" w:cs="Times New Roman CYR"/>
          <w:sz w:val="24"/>
          <w:szCs w:val="24"/>
        </w:rPr>
        <w:t xml:space="preserve">ційних гарантій прав і свобод людини і громадянина є недопущення їх скасування чи звуження їх змісту та обсягу при прийнятті нових законів або внесенні змін до чинних законів (частини друга, третя статті 22 Конституції України). 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Конституційний Суд України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у своєму Рішенні від 22 вересня 2005 року № 5-рп/2005 вказав на те, що скасування конституційних прав і свобод </w:t>
      </w:r>
      <w:r>
        <w:rPr>
          <w:rFonts w:ascii="Times New Roman CYR" w:hAnsi="Times New Roman CYR" w:cs="Times New Roman CYR"/>
          <w:sz w:val="24"/>
          <w:szCs w:val="24"/>
        </w:rPr>
        <w:t>–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це їх офіційна (юридична або фактична) ліквідація. Звуження змісту та обсягу прав і свобод є їх обмеженням.                              У тра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диційному розумінні діяльності визначальними поняття змісту прав людини є умови і засоби, які становлять можливості людини, необхідні для задоволення потреб її існування та розвитку. Обсяг прав людини </w:t>
      </w:r>
      <w:r>
        <w:rPr>
          <w:rFonts w:ascii="Times New Roman CYR" w:hAnsi="Times New Roman CYR" w:cs="Times New Roman CYR"/>
          <w:sz w:val="24"/>
          <w:szCs w:val="24"/>
          <w:lang w:val="ru-RU"/>
        </w:rPr>
        <w:t>–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 це їх сутнісна властивість, виражена кількісними пока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зниками можливостей людини, які відображені відповідними правами, що не є однорідними і загальними. Загальновизнаним є правило, згідно з яким сутність змісту основного права в жодному разі не може бути порушена.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Беручи до уваги викладене, колегія суддів Су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дової палати в адміністративних справах Верховного Суду України вважає, що суд першої інстанції, повно встановивши обставини справи, правильно застосував положення частини дев’ятої статті 33 Закону №  3723-XII, якою, у випадку скорочення бюджетних асигнува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нь, встановлено заборону на зменшення фінансування будь-яких виплат, передбачених цим же Законом, і ухвалив законне судове рішення, яке також відповідає правовій позиції </w:t>
      </w:r>
      <w:r>
        <w:rPr>
          <w:rFonts w:ascii="Times New Roman CYR" w:hAnsi="Times New Roman CYR" w:cs="Times New Roman CYR"/>
          <w:sz w:val="24"/>
          <w:szCs w:val="24"/>
        </w:rPr>
        <w:t xml:space="preserve">Верховного Суду України,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висловленій</w:t>
      </w:r>
      <w:r>
        <w:rPr>
          <w:rFonts w:ascii="Times New Roman CYR" w:hAnsi="Times New Roman CYR" w:cs="Times New Roman CYR"/>
          <w:sz w:val="24"/>
          <w:szCs w:val="24"/>
        </w:rPr>
        <w:t xml:space="preserve"> у постанові від 22 червня 2010 року (№ 21-399во10</w:t>
      </w:r>
      <w:r>
        <w:rPr>
          <w:rFonts w:ascii="Times New Roman CYR" w:hAnsi="Times New Roman CYR" w:cs="Times New Roman CYR"/>
          <w:sz w:val="24"/>
          <w:szCs w:val="24"/>
        </w:rPr>
        <w:t>), прийнятій за наслідками перегляду судових рішень у аналогічній справі.</w:t>
      </w:r>
    </w:p>
    <w:p w:rsidR="00000000" w:rsidRDefault="00A84752">
      <w:pPr>
        <w:widowControl w:val="0"/>
        <w:tabs>
          <w:tab w:val="left" w:pos="9354"/>
        </w:tabs>
        <w:autoSpaceDE w:val="0"/>
        <w:autoSpaceDN w:val="0"/>
        <w:adjustRightInd w:val="0"/>
        <w:spacing w:after="0" w:line="240" w:lineRule="auto"/>
        <w:ind w:right="-2" w:firstLine="708"/>
        <w:jc w:val="both"/>
        <w:rPr>
          <w:rFonts w:ascii="Times New Roman CYR" w:hAnsi="Times New Roman CYR" w:cs="Times New Roman CYR"/>
          <w:color w:val="000000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sz w:val="24"/>
          <w:szCs w:val="24"/>
        </w:rPr>
        <w:t>Оскільки при вирішенні спору суди касаційної та апеляційної інстанцій допустили неправильне застосування норм матеріального права, то ухвалені ними судові рішення підлягають скасуван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ню із залишенням у силі постанови суду першої інстанції.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Керуючись абзацом четвертим пункту 2 розділу ХІІІ Закону України 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>від 7 липня             2010 року № 2453-VI</w:t>
      </w:r>
      <w:r>
        <w:rPr>
          <w:rFonts w:ascii="Times New Roman CYR" w:hAnsi="Times New Roman CYR" w:cs="Times New Roman CYR"/>
          <w:sz w:val="24"/>
          <w:szCs w:val="24"/>
        </w:rPr>
        <w:t xml:space="preserve"> «</w:t>
      </w:r>
      <w:r>
        <w:rPr>
          <w:rFonts w:ascii="Times New Roman CYR" w:hAnsi="Times New Roman CYR" w:cs="Times New Roman CYR"/>
          <w:color w:val="000000"/>
          <w:sz w:val="24"/>
          <w:szCs w:val="24"/>
        </w:rPr>
        <w:t xml:space="preserve">Про судоустрій і статус суддів» </w:t>
      </w:r>
      <w:r>
        <w:rPr>
          <w:rFonts w:ascii="Times New Roman CYR" w:hAnsi="Times New Roman CYR" w:cs="Times New Roman CYR"/>
          <w:sz w:val="24"/>
          <w:szCs w:val="24"/>
        </w:rPr>
        <w:t>та статтями 241–243 Кодексу адміністративного судочинства</w:t>
      </w:r>
      <w:r>
        <w:rPr>
          <w:rFonts w:ascii="Times New Roman CYR" w:hAnsi="Times New Roman CYR" w:cs="Times New Roman CYR"/>
          <w:sz w:val="24"/>
          <w:szCs w:val="24"/>
        </w:rPr>
        <w:t xml:space="preserve"> України, колегія суддів Судової палати в адміністративних справах Верховного Суду України  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120" w:line="240" w:lineRule="auto"/>
        <w:ind w:firstLine="720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п о с т а н о в и л а: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Скаргу ОСОБА-1 задовольнити.  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Ухвалу Вищого адміністративного суду України від 24 березня 2010 року та постанову Харківського апеляційного </w:t>
      </w:r>
      <w:r>
        <w:rPr>
          <w:rFonts w:ascii="Times New Roman CYR" w:hAnsi="Times New Roman CYR" w:cs="Times New Roman CYR"/>
          <w:sz w:val="24"/>
          <w:szCs w:val="24"/>
        </w:rPr>
        <w:t xml:space="preserve">адміністративного суду від 24 грудня 2008 року скасувати, постанову Конотопського міськрайонного суду Сумської області від 19 березня 2008 року залишити в силі. 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Постанова є остаточною і не може бути оскаржена, крім випадку, встановленого пунктом 2 частини</w:t>
      </w:r>
      <w:r>
        <w:rPr>
          <w:rFonts w:ascii="Times New Roman CYR" w:hAnsi="Times New Roman CYR" w:cs="Times New Roman CYR"/>
          <w:sz w:val="24"/>
          <w:szCs w:val="24"/>
        </w:rPr>
        <w:t xml:space="preserve"> першої статті 237 Кодексу адміністративного судочинства України.</w:t>
      </w:r>
    </w:p>
    <w:p w:rsidR="00000000" w:rsidRDefault="00A84752">
      <w:pPr>
        <w:widowControl w:val="0"/>
        <w:tabs>
          <w:tab w:val="left" w:pos="9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5508"/>
        <w:gridCol w:w="4500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550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tabs>
                <w:tab w:val="left" w:pos="2820"/>
                <w:tab w:val="left" w:pos="3135"/>
                <w:tab w:val="left" w:pos="5040"/>
              </w:tabs>
              <w:autoSpaceDE w:val="0"/>
              <w:autoSpaceDN w:val="0"/>
              <w:adjustRightInd w:val="0"/>
              <w:spacing w:after="0" w:line="528" w:lineRule="auto"/>
              <w:ind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Головуючий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                       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528" w:lineRule="auto"/>
              <w:ind w:left="2052" w:right="-6"/>
              <w:jc w:val="both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В.В. Кривенко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50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tabs>
                <w:tab w:val="left" w:pos="2520"/>
                <w:tab w:val="left" w:pos="3045"/>
                <w:tab w:val="left" w:pos="3420"/>
                <w:tab w:val="left" w:pos="5040"/>
              </w:tabs>
              <w:autoSpaceDE w:val="0"/>
              <w:autoSpaceDN w:val="0"/>
              <w:adjustRightInd w:val="0"/>
              <w:spacing w:after="0" w:line="528" w:lineRule="auto"/>
              <w:ind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lastRenderedPageBreak/>
              <w:t>Судді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:                        </w:t>
            </w: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            </w:t>
            </w: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        </w:t>
            </w: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М.Б. Гусак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528" w:lineRule="auto"/>
              <w:ind w:left="2052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О.А. Коротких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50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528" w:lineRule="auto"/>
              <w:ind w:left="3060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    О.В.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Кривенда</w:t>
            </w:r>
            <w:proofErr w:type="spellEnd"/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tabs>
                <w:tab w:val="left" w:pos="2262"/>
                <w:tab w:val="left" w:pos="2457"/>
              </w:tabs>
              <w:autoSpaceDE w:val="0"/>
              <w:autoSpaceDN w:val="0"/>
              <w:adjustRightInd w:val="0"/>
              <w:spacing w:after="0" w:line="528" w:lineRule="auto"/>
              <w:ind w:left="2052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 xml:space="preserve">В.Л.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  <w:t>Маринченко</w:t>
            </w:r>
            <w:proofErr w:type="spellEnd"/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550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528" w:lineRule="auto"/>
              <w:ind w:left="3060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    П.В.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Панталієнко</w:t>
            </w:r>
            <w:proofErr w:type="spellEnd"/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tabs>
                <w:tab w:val="left" w:pos="2262"/>
                <w:tab w:val="left" w:pos="2457"/>
              </w:tabs>
              <w:autoSpaceDE w:val="0"/>
              <w:autoSpaceDN w:val="0"/>
              <w:adjustRightInd w:val="0"/>
              <w:spacing w:after="0" w:line="528" w:lineRule="auto"/>
              <w:ind w:left="2052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О.Б</w:t>
            </w: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. Прокопенко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452"/>
        </w:trPr>
        <w:tc>
          <w:tcPr>
            <w:tcW w:w="5508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autoSpaceDE w:val="0"/>
              <w:autoSpaceDN w:val="0"/>
              <w:adjustRightInd w:val="0"/>
              <w:spacing w:after="0" w:line="528" w:lineRule="auto"/>
              <w:ind w:left="3060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     О.О. Терлецький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A84752">
            <w:pPr>
              <w:widowControl w:val="0"/>
              <w:tabs>
                <w:tab w:val="left" w:pos="1692"/>
                <w:tab w:val="left" w:pos="2307"/>
              </w:tabs>
              <w:autoSpaceDE w:val="0"/>
              <w:autoSpaceDN w:val="0"/>
              <w:adjustRightInd w:val="0"/>
              <w:spacing w:after="0" w:line="528" w:lineRule="auto"/>
              <w:ind w:left="2052" w:right="-6"/>
              <w:rPr>
                <w:rFonts w:ascii="Times New Roman CYR" w:hAnsi="Times New Roman CYR" w:cs="Times New Roman CYR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Ю.Г.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Тітов</w:t>
            </w:r>
            <w:proofErr w:type="spellEnd"/>
          </w:p>
        </w:tc>
      </w:tr>
    </w:tbl>
    <w:p w:rsidR="00A84752" w:rsidRDefault="00A84752">
      <w:pPr>
        <w:widowControl w:val="0"/>
        <w:autoSpaceDE w:val="0"/>
        <w:autoSpaceDN w:val="0"/>
        <w:adjustRightInd w:val="0"/>
        <w:spacing w:before="240" w:after="24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sectPr w:rsidR="00A84752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notTrueType/>
    <w:pitch w:val="default"/>
    <w:sig w:usb0="00000201" w:usb1="00000000" w:usb2="00000000" w:usb3="00000000" w:csb0="00000004" w:csb1="00000000"/>
  </w:font>
  <w:font w:name="Arial CYR">
    <w:panose1 w:val="020B0604020202020204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4"/>
  <w:embedSystemFonts/>
  <w:bordersDoNotSurroundHeader/>
  <w:bordersDoNotSurroundFooter/>
  <w:proofState w:spelling="clean" w:grammar="clean"/>
  <w:defaultTabStop w:val="708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E0CF0"/>
    <w:rsid w:val="000C7F14"/>
    <w:rsid w:val="005C30CB"/>
    <w:rsid w:val="00A84752"/>
    <w:rsid w:val="00EE0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30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30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6511</Words>
  <Characters>3712</Characters>
  <Application>Microsoft Office Word</Application>
  <DocSecurity>0</DocSecurity>
  <Lines>30</Lines>
  <Paragraphs>20</Paragraphs>
  <ScaleCrop>false</ScaleCrop>
  <Company>SPecialiST RePack</Company>
  <LinksUpToDate>false</LinksUpToDate>
  <CharactersWithSpaces>10203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2019-12-13T15:16:00Z</dcterms:created>
  <dcterms:modified xsi:type="dcterms:W3CDTF">2019-12-13T15:16:00Z</dcterms:modified>
</cp:coreProperties>
</file>