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0" w:name="o1"/>
      <w:bookmarkEnd w:id="0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 xml:space="preserve">                  ЄВРОПЕЙСЬКИЙ СУД З ПРАВ ЛЮДИНИ </w:t>
      </w:r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br/>
        <w:t xml:space="preserve"> </w:t>
      </w:r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1" w:name="o2"/>
      <w:bookmarkEnd w:id="1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 xml:space="preserve">                  Справа "</w:t>
      </w:r>
      <w:proofErr w:type="spellStart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>Дактарас</w:t>
      </w:r>
      <w:proofErr w:type="spellEnd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 xml:space="preserve"> проти Литви" </w:t>
      </w:r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br/>
        <w:t xml:space="preserve">                      (</w:t>
      </w:r>
      <w:proofErr w:type="spellStart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>Dactaras</w:t>
      </w:r>
      <w:proofErr w:type="spellEnd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 xml:space="preserve"> </w:t>
      </w:r>
      <w:proofErr w:type="spellStart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>v.Lithuania</w:t>
      </w:r>
      <w:proofErr w:type="spellEnd"/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t xml:space="preserve">) </w:t>
      </w:r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br/>
        <w:t xml:space="preserve"> </w:t>
      </w:r>
      <w:r w:rsidRPr="00D513DC">
        <w:rPr>
          <w:rFonts w:ascii="Consolas" w:eastAsia="Times New Roman" w:hAnsi="Consolas" w:cs="Consolas"/>
          <w:b/>
          <w:bCs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2" w:name="o3"/>
      <w:bookmarkEnd w:id="2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У рішенні,  ухваленому  у  Страсбурзі 24 листопада 2000 р.  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>справі "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проти Литви",  Європейський  суд  з  прав  людини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(далі  -  Суд)  постановив,  що  мало місце порушення ч.  1 ст.  6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Конвенції про захист прав людини та основних свобод  (  </w:t>
      </w:r>
      <w:hyperlink r:id="rId4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)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(далі  - Конвенція) щодо права на справедливий судовий розгляд,  і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не було порушення ч.  2 ст.  6 Конвенції щодо права на  презумпцію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невинуватості.  Суд  постановив рішення про відшкодування заявнику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судових витрат у розмірі 10354,22 литовських літ.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3" w:name="o4"/>
      <w:bookmarkEnd w:id="3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Обставини справи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4" w:name="o5"/>
      <w:bookmarkEnd w:id="4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Заявник, пан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Генрікас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,  народився у 1957 р. в Литві.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Литовські  мас-медіа змальовували  заявника як лідера мафії.  Його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було визнано винним у вчиненні двох злочинів: вимагательстві майна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шляхом погроз застосування насильства і схилянні інших до протидії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правосуддю.  Пана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Дактараса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засуджено до позбавлення волі  строком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на  сім років і шість місяців з конфіскацією майна.  Зараз заявник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відбуває покарання у в'язниці.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5" w:name="o6"/>
      <w:bookmarkEnd w:id="5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Зміст рішення Суду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6" w:name="o7"/>
      <w:bookmarkEnd w:id="6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Заявник стверджував,  що провадження у Верховному суді Литви,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який  розглядав його справу в касаційному порядку,  не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lastRenderedPageBreak/>
        <w:t xml:space="preserve">відповідало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вимозі   безсторонності,  закріпленій  у  ч.  1  ст.  6  Конвенції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( </w:t>
      </w:r>
      <w:hyperlink r:id="rId5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),     оскільки     відповідно     до     ст.    417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Кримінально-процесуального  кодексу  Литви  склад   суду,   котрий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розглядав  справу  пана 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Дактараса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,  призначив  голова  колегії  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кримінальних справах  Верховного  суду,  тобто  саме  та  посадова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особа,  касаційне подання якої і стало підставою для розгляду цієї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>справи у касаційному порядку.</w:t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7" w:name="o8"/>
      <w:bookmarkEnd w:id="7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Заявник також вважав,  що заява обвинувача про  те,  що  вина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пана  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Дактараса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була  доведена  до  початку  судового  розгляду,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становить порушення  ч.  2  ст.  6 Конвенції ( </w:t>
      </w:r>
      <w:hyperlink r:id="rId6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) (право на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>презумпцію невинуватості).</w:t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8" w:name="o9"/>
      <w:bookmarkEnd w:id="8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Суд вкотре наголосив,  що  відповідно  до  його 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прецедентної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практики  "безсторонність  суду" за змістом ч,  1 ст.  6 Конвенції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( </w:t>
      </w:r>
      <w:hyperlink r:id="rId7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)  означає відсутність у суддів,  які вирішують справу,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упередженості,  а також будь-якого зовнішнього впливу на них.  Суд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також  нагадав  про  важливість зовнішніх проявів таких впливів чи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>упередженості при вирішенні питання про безсторонність суду.</w:t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9" w:name="o10"/>
      <w:bookmarkEnd w:id="9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Суд дійшов висновку,  що звернувшись до Верховного суду Литви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із касаційним  поданням у справі пана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Дактараса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,  голова колегії 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кримінальних справах Верховного суду Литви тим самим взяв на  себе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роль обвинувача.  Крім того,  що голова цієї колегії виконував ряд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організаційних та управлінських функцій,  він ще й призначив склад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суду, який   розглядав   справу   заявника,   а   також   визначив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lastRenderedPageBreak/>
        <w:t xml:space="preserve">суддю-доповідача. Виходячи  з  цього,  Суд  вважав  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обгрунтованим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існування підозри стосовно тиску на Верховний суд під час розгляду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даної справи.  Тому,  з точки зору Суду,  побоювання заявника щодо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"небезсторонності" суду,   який   розглядав   його   справу,  були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підставними,  а,  отже, має  місце  порушення ч. 1 ст. 6 Конвенції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( </w:t>
      </w:r>
      <w:hyperlink r:id="rId8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).</w:t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10" w:name="o11"/>
      <w:bookmarkEnd w:id="10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Суд також  зауважив,  що презумпція невинуватості вимагає від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державних службовців  особливої  обережності  при   здійсненні   у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кримінальному процесі  оцінок  дій  обвинуваченого,  вина якого не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встановлена компетентним судом.  Однак при вирішенні  питання  про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порушення права на презумпцію невинуватості слід брати до уваги не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лише зміст конкретних висловлювань,  а й контекст,  в  якому  вони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>були зроблені.</w:t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11" w:name="o12"/>
      <w:bookmarkEnd w:id="11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Суд зазначив,  що  заяви  обвинувача  з  приводу  вини   пана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Дактараса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були зроблені в контексті прийняття мотивованого рішення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на попередній стадії кримінального процесу,  а не,  наприклад,  на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прес-конференції. Суд дійшов висновку, що, стверджуючи доведеність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вини заявника за допомогою зібраних доказів,  обвинувач використав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ту ж термінологію, що і сам пан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у проханні про припинення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провадження у справі.  Погоджуючись з тим,  що сам по собі  термін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"доведеність" не є вдалим,  Суд все ж таки вважав, що використання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цього терміна як обвинувачем,  так і самим заявником мало на  меті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не  стільки  встановити  вину  пана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Дактараса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на підставі зібраних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lastRenderedPageBreak/>
        <w:t xml:space="preserve">доказів,  скільки підтвердити достатність матеріалів справи для її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передачі до суду. Отже, порушення ч. 2 ст. 6 Конвенції ( </w:t>
      </w:r>
      <w:hyperlink r:id="rId9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)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>було відсутнє.</w:t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12" w:name="o13"/>
      <w:bookmarkEnd w:id="12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    Заявник вимагав   сплатити  йому  10000  літ  як  компенсацію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моральної шкоди,  яка  виникла  внаслідок  порушення  конвенційних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норм.  Однак  Суд відхилив цю вимогу,  зазначивши,  що сам по собі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факт визнання порушення ч. 1 ст. 6 Конвенції ( </w:t>
      </w:r>
      <w:hyperlink r:id="rId10" w:tgtFrame="_blank" w:history="1">
        <w:r w:rsidRPr="00D513DC">
          <w:rPr>
            <w:rFonts w:ascii="Consolas" w:eastAsia="Times New Roman" w:hAnsi="Consolas" w:cs="Consolas"/>
            <w:color w:val="0000FF"/>
            <w:sz w:val="29"/>
            <w:u w:val="single"/>
            <w:lang w:eastAsia="uk-UA"/>
          </w:rPr>
          <w:t>995_004</w:t>
        </w:r>
      </w:hyperlink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) становить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достатню  компенсацію моральних страждань заявника.  Суд призначив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пану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Дактарасу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10354,22 літ на відшкодування судових витрат.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13" w:name="o14"/>
      <w:bookmarkEnd w:id="13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Переклад та опрацювання рішень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здійснено у Львівській лабораторії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прав людини і громадянина НДІ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державного будівництва та місцевого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самоврядування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АПрН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України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П.М.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Рабіновичем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, М.Б. </w:t>
      </w:r>
      <w:proofErr w:type="spellStart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>Рісним</w:t>
      </w:r>
      <w:proofErr w:type="spellEnd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,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Н.І. Савчук.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</w:r>
    </w:p>
    <w:p w:rsidR="00D513DC" w:rsidRPr="00D513DC" w:rsidRDefault="00D513DC" w:rsidP="00D513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</w:pPr>
      <w:bookmarkStart w:id="14" w:name="o15"/>
      <w:bookmarkEnd w:id="14"/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t xml:space="preserve"> Надруковано: ISSN 0132-1331, </w:t>
      </w:r>
      <w:r w:rsidRPr="00D513DC">
        <w:rPr>
          <w:rFonts w:ascii="Consolas" w:eastAsia="Times New Roman" w:hAnsi="Consolas" w:cs="Consolas"/>
          <w:color w:val="292B2C"/>
          <w:sz w:val="29"/>
          <w:szCs w:val="29"/>
          <w:lang w:eastAsia="uk-UA"/>
        </w:rPr>
        <w:br/>
        <w:t xml:space="preserve"> "Право України", 2001, N 5 </w:t>
      </w:r>
    </w:p>
    <w:p w:rsidR="00DE6E1F" w:rsidRDefault="00D513DC" w:rsidP="00D513DC"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1860550" cy="1860550"/>
            <wp:effectExtent l="19050" t="0" r="6350" b="0"/>
            <wp:docPr id="1" name="Рисунок 1" descr="https://zakon.rada.gov.ua/laws/code/980_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zakon.rada.gov.ua/laws/code/980_00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0550" cy="186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6E1F" w:rsidSect="0002334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D513DC"/>
    <w:rsid w:val="00023348"/>
    <w:rsid w:val="00D46936"/>
    <w:rsid w:val="00D513DC"/>
    <w:rsid w:val="00D96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3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513DC"/>
    <w:rPr>
      <w:color w:val="0000FF"/>
      <w:u w:val="single"/>
    </w:rPr>
  </w:style>
  <w:style w:type="character" w:styleId="HTML">
    <w:name w:val="HTML Keyboard"/>
    <w:basedOn w:val="a0"/>
    <w:uiPriority w:val="99"/>
    <w:semiHidden/>
    <w:unhideWhenUsed/>
    <w:rsid w:val="00D513DC"/>
    <w:rPr>
      <w:rFonts w:ascii="Courier New" w:eastAsia="Times New Roman" w:hAnsi="Courier New" w:cs="Courier New"/>
      <w:sz w:val="20"/>
      <w:szCs w:val="20"/>
    </w:rPr>
  </w:style>
  <w:style w:type="paragraph" w:styleId="HTML0">
    <w:name w:val="HTML Preformatted"/>
    <w:basedOn w:val="a"/>
    <w:link w:val="HTML1"/>
    <w:uiPriority w:val="99"/>
    <w:semiHidden/>
    <w:unhideWhenUsed/>
    <w:rsid w:val="00D513D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D513DC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D513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13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59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746101">
          <w:marLeft w:val="0"/>
          <w:marRight w:val="0"/>
          <w:marTop w:val="0"/>
          <w:marBottom w:val="0"/>
          <w:divBdr>
            <w:top w:val="none" w:sz="0" w:space="4" w:color="auto"/>
            <w:left w:val="single" w:sz="6" w:space="8" w:color="E2E2E2"/>
            <w:bottom w:val="single" w:sz="6" w:space="4" w:color="E2E2E2"/>
            <w:right w:val="single" w:sz="6" w:space="8" w:color="E2E2E2"/>
          </w:divBdr>
        </w:div>
        <w:div w:id="9786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03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995_004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zakon.rada.gov.ua/laws/show/995_004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995_004" TargetMode="External"/><Relationship Id="rId11" Type="http://schemas.openxmlformats.org/officeDocument/2006/relationships/image" Target="media/image1.png"/><Relationship Id="rId5" Type="http://schemas.openxmlformats.org/officeDocument/2006/relationships/hyperlink" Target="https://zakon.rada.gov.ua/laws/show/995_004" TargetMode="External"/><Relationship Id="rId10" Type="http://schemas.openxmlformats.org/officeDocument/2006/relationships/hyperlink" Target="https://zakon.rada.gov.ua/laws/show/995_004" TargetMode="External"/><Relationship Id="rId4" Type="http://schemas.openxmlformats.org/officeDocument/2006/relationships/hyperlink" Target="https://zakon.rada.gov.ua/laws/show/995_004" TargetMode="External"/><Relationship Id="rId9" Type="http://schemas.openxmlformats.org/officeDocument/2006/relationships/hyperlink" Target="https://zakon.rada.gov.ua/laws/show/995_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3552</Words>
  <Characters>2026</Characters>
  <Application>Microsoft Office Word</Application>
  <DocSecurity>0</DocSecurity>
  <Lines>16</Lines>
  <Paragraphs>11</Paragraphs>
  <ScaleCrop>false</ScaleCrop>
  <Company>SPecialiST RePack</Company>
  <LinksUpToDate>false</LinksUpToDate>
  <CharactersWithSpaces>5567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2019-11-20T07:50:00Z</dcterms:created>
  <dcterms:modified xsi:type="dcterms:W3CDTF">2019-11-20T07:50:00Z</dcterms:modified>
</cp:coreProperties>
</file>